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F911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EF911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FEF911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EF9117" w14:textId="39BE915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947A5">
        <w:rPr>
          <w:b/>
          <w:caps/>
        </w:rPr>
        <w:t xml:space="preserve">klaipėdos miesto savivaldybės tarybos </w:t>
      </w:r>
      <w:r w:rsidR="002521F5">
        <w:rPr>
          <w:b/>
          <w:caps/>
        </w:rPr>
        <w:t>2008 m. gruodžio 23 d. sprendimo</w:t>
      </w:r>
      <w:r w:rsidR="002947A5">
        <w:rPr>
          <w:b/>
          <w:caps/>
        </w:rPr>
        <w:t xml:space="preserve"> Nr. T2-416 </w:t>
      </w:r>
      <w:r w:rsidR="002521F5">
        <w:rPr>
          <w:b/>
          <w:caps/>
        </w:rPr>
        <w:t>„dėl asmenims su sunkia negalia dienos socialinės globos asmens namuose skyrimo, teikimo ir mokėjimo tvarkos aprašo patvirtinimo“</w:t>
      </w:r>
      <w:r w:rsidR="002947A5">
        <w:rPr>
          <w:b/>
          <w:caps/>
        </w:rPr>
        <w:t xml:space="preserve"> pakeitimo</w:t>
      </w:r>
    </w:p>
    <w:p w14:paraId="2FEF9118" w14:textId="77777777" w:rsidR="00446AC7" w:rsidRDefault="00446AC7" w:rsidP="003077A5">
      <w:pPr>
        <w:jc w:val="center"/>
      </w:pPr>
    </w:p>
    <w:bookmarkStart w:id="1" w:name="registravimoDataIlga"/>
    <w:p w14:paraId="2FEF911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T1-190</w:t>
      </w:r>
      <w:r>
        <w:rPr>
          <w:noProof/>
        </w:rPr>
        <w:fldChar w:fldCharType="end"/>
      </w:r>
      <w:bookmarkEnd w:id="2"/>
    </w:p>
    <w:p w14:paraId="2FEF91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EF911B" w14:textId="77777777" w:rsidR="00446AC7" w:rsidRPr="002521F5" w:rsidRDefault="00446AC7" w:rsidP="003077A5">
      <w:pPr>
        <w:jc w:val="center"/>
      </w:pPr>
    </w:p>
    <w:p w14:paraId="2FEF911C" w14:textId="77777777" w:rsidR="00446AC7" w:rsidRDefault="00446AC7" w:rsidP="003077A5">
      <w:pPr>
        <w:jc w:val="center"/>
      </w:pPr>
    </w:p>
    <w:p w14:paraId="2FEF911D" w14:textId="551CE1D5" w:rsidR="00446AC7" w:rsidRDefault="00F12430" w:rsidP="002521F5">
      <w:pPr>
        <w:tabs>
          <w:tab w:val="left" w:pos="912"/>
        </w:tabs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dalimi, </w:t>
      </w:r>
      <w:r>
        <w:t xml:space="preserve">Lietuvos Respublikos euro įvedimo </w:t>
      </w:r>
      <w:r w:rsidR="002336D8">
        <w:t>Lietuvos Respublikoje įstatymu,</w:t>
      </w:r>
      <w:r>
        <w:t xml:space="preserve"> Klaipėdos miesto savivaldybės pasirengimo euro įvedimui Lietuvos Respublikoje priemonių plano, patvirtinto Klaipėdos miesto savivaldybės administracijos direktoriaus 2014 m. liepos 31 d. įsakymu Nr. AD1-2311 „Dėl Klaipėdos miesto savivaldybės pasirengimo euro įvedimui Lietuvos Respublikoje priemonių plano patvirtinimo ir koordinatoriaus paskyrimo“</w:t>
      </w:r>
      <w:r w:rsidR="002521F5">
        <w:t>, 2 punktu</w:t>
      </w:r>
      <w:r>
        <w:t xml:space="preserve">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2FEF911E" w14:textId="640DE881" w:rsidR="00446AC7" w:rsidRDefault="00547B32" w:rsidP="002521F5">
      <w:pPr>
        <w:ind w:firstLine="709"/>
        <w:jc w:val="both"/>
      </w:pPr>
      <w:r>
        <w:t>1.</w:t>
      </w:r>
      <w:r w:rsidR="00BE058F">
        <w:t xml:space="preserve"> </w:t>
      </w:r>
      <w:r w:rsidR="005C6B9F">
        <w:t xml:space="preserve">Pakeisti </w:t>
      </w:r>
      <w:r>
        <w:t>Asmenims su sunkia negalia dienos socialinės globos asmens namuose skyrimo, teikimo ir mokėjimo tvarkos aprašą, patvirtintą Klaipėdos miesto savivaldybės tarybos 2008 m. gruo</w:t>
      </w:r>
      <w:r w:rsidR="0022525B">
        <w:t>džio 23 d. sprendimu Nr. T2-416</w:t>
      </w:r>
      <w:r w:rsidR="00683594">
        <w:t xml:space="preserve"> „Dėl A</w:t>
      </w:r>
      <w:r>
        <w:t>smenims su sunkia negalia dienos socialinės globos asmens namuose skyrimo, teikimo ir mokėjimo tvarkos aprašo patvirtinimo“ (</w:t>
      </w:r>
      <w:r w:rsidR="00683594">
        <w:t>kartu su visais vėlesniais šio sprendimo pakeitimais</w:t>
      </w:r>
      <w:r>
        <w:t>):</w:t>
      </w:r>
    </w:p>
    <w:p w14:paraId="2FEF911F" w14:textId="56CED5B2" w:rsidR="00547B32" w:rsidRDefault="00547B32" w:rsidP="002521F5">
      <w:pPr>
        <w:ind w:firstLine="709"/>
        <w:jc w:val="both"/>
      </w:pPr>
      <w:r>
        <w:t xml:space="preserve">1.1. pakeisti 37 punktą ir </w:t>
      </w:r>
      <w:r w:rsidR="002521F5">
        <w:t xml:space="preserve">jį </w:t>
      </w:r>
      <w:r>
        <w:t>išdėstyti taip:</w:t>
      </w:r>
    </w:p>
    <w:p w14:paraId="2FEF9120" w14:textId="77777777" w:rsidR="00306685" w:rsidRPr="00C239B1" w:rsidRDefault="00547B32" w:rsidP="002521F5">
      <w:pPr>
        <w:ind w:firstLine="709"/>
        <w:jc w:val="both"/>
      </w:pPr>
      <w:r>
        <w:t xml:space="preserve">„37. </w:t>
      </w:r>
      <w:r w:rsidR="00306685" w:rsidRPr="00C239B1">
        <w:t>Vieno gyvenančio asmens mokėjimo už vieną kalendorinį mėnesį teikiamą dienos socialinę globą dydis neturi viršyti 20 procentų asmens pajamų:</w:t>
      </w:r>
    </w:p>
    <w:p w14:paraId="2FEF9121" w14:textId="77777777" w:rsidR="00306685" w:rsidRPr="00C239B1" w:rsidRDefault="00306685" w:rsidP="0030668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970"/>
        <w:gridCol w:w="908"/>
        <w:gridCol w:w="884"/>
        <w:gridCol w:w="946"/>
        <w:gridCol w:w="793"/>
        <w:gridCol w:w="939"/>
        <w:gridCol w:w="1006"/>
        <w:gridCol w:w="923"/>
        <w:gridCol w:w="1193"/>
        <w:gridCol w:w="323"/>
      </w:tblGrid>
      <w:tr w:rsidR="002521F5" w:rsidRPr="007A03C2" w14:paraId="2FEF912D" w14:textId="145BC36D" w:rsidTr="002521F5">
        <w:tc>
          <w:tcPr>
            <w:tcW w:w="861" w:type="dxa"/>
            <w:shd w:val="clear" w:color="auto" w:fill="auto"/>
          </w:tcPr>
          <w:p w14:paraId="2FEF9122" w14:textId="77777777" w:rsidR="002521F5" w:rsidRPr="007A03C2" w:rsidRDefault="002521F5" w:rsidP="00462480">
            <w:pPr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Asmens vieno mėnesio pajamos, </w:t>
            </w:r>
            <w:r>
              <w:rPr>
                <w:sz w:val="18"/>
                <w:szCs w:val="18"/>
              </w:rPr>
              <w:t>Eur</w:t>
            </w:r>
          </w:p>
        </w:tc>
        <w:tc>
          <w:tcPr>
            <w:tcW w:w="970" w:type="dxa"/>
            <w:shd w:val="clear" w:color="auto" w:fill="auto"/>
          </w:tcPr>
          <w:p w14:paraId="2FEF9123" w14:textId="77777777" w:rsidR="002521F5" w:rsidRPr="007A03C2" w:rsidRDefault="002521F5" w:rsidP="00511CF7">
            <w:pPr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Mokėjimo už paslaugą </w:t>
            </w:r>
            <w:r>
              <w:rPr>
                <w:sz w:val="18"/>
                <w:szCs w:val="18"/>
              </w:rPr>
              <w:t>20 proc. asmens pajamų dydis, Eur</w:t>
            </w:r>
          </w:p>
        </w:tc>
        <w:tc>
          <w:tcPr>
            <w:tcW w:w="908" w:type="dxa"/>
            <w:shd w:val="clear" w:color="auto" w:fill="auto"/>
          </w:tcPr>
          <w:p w14:paraId="2FEF9124" w14:textId="77777777" w:rsidR="002521F5" w:rsidRPr="007A03C2" w:rsidRDefault="002521F5" w:rsidP="00511CF7">
            <w:pPr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Vidutinis darbo val. skaičius per mėn.</w:t>
            </w:r>
          </w:p>
        </w:tc>
        <w:tc>
          <w:tcPr>
            <w:tcW w:w="884" w:type="dxa"/>
            <w:shd w:val="clear" w:color="auto" w:fill="auto"/>
          </w:tcPr>
          <w:p w14:paraId="2FEF9125" w14:textId="77777777" w:rsidR="002521F5" w:rsidRPr="007A03C2" w:rsidRDefault="002521F5" w:rsidP="00511CF7">
            <w:pPr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20 proc. vidutinis asmens valandos pajamų dydis</w:t>
            </w:r>
          </w:p>
        </w:tc>
        <w:tc>
          <w:tcPr>
            <w:tcW w:w="946" w:type="dxa"/>
            <w:shd w:val="clear" w:color="auto" w:fill="auto"/>
          </w:tcPr>
          <w:p w14:paraId="2FEF9126" w14:textId="77777777" w:rsidR="002521F5" w:rsidRPr="007A03C2" w:rsidRDefault="002521F5" w:rsidP="00511CF7">
            <w:pPr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Paslaugos teikimo val. skaičius per mėn. </w:t>
            </w:r>
          </w:p>
        </w:tc>
        <w:tc>
          <w:tcPr>
            <w:tcW w:w="793" w:type="dxa"/>
            <w:shd w:val="clear" w:color="auto" w:fill="auto"/>
          </w:tcPr>
          <w:p w14:paraId="2FEF9127" w14:textId="77777777" w:rsidR="002521F5" w:rsidRPr="007A03C2" w:rsidRDefault="002521F5" w:rsidP="00511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Vienos val. įkainis, Eur</w:t>
            </w:r>
          </w:p>
        </w:tc>
        <w:tc>
          <w:tcPr>
            <w:tcW w:w="939" w:type="dxa"/>
            <w:shd w:val="clear" w:color="auto" w:fill="auto"/>
          </w:tcPr>
          <w:p w14:paraId="2FEF9128" w14:textId="77777777" w:rsidR="002521F5" w:rsidRPr="007A03C2" w:rsidRDefault="002521F5" w:rsidP="00511CF7">
            <w:pPr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Visa paslaugos k</w:t>
            </w:r>
            <w:r>
              <w:rPr>
                <w:sz w:val="18"/>
                <w:szCs w:val="18"/>
              </w:rPr>
              <w:t>aina, Eur</w:t>
            </w:r>
          </w:p>
        </w:tc>
        <w:tc>
          <w:tcPr>
            <w:tcW w:w="1006" w:type="dxa"/>
            <w:shd w:val="clear" w:color="auto" w:fill="auto"/>
          </w:tcPr>
          <w:p w14:paraId="2FEF9129" w14:textId="77777777" w:rsidR="002521F5" w:rsidRPr="007A03C2" w:rsidRDefault="002521F5" w:rsidP="00511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Asmens pajamomis mokama suma, Eur</w:t>
            </w:r>
          </w:p>
        </w:tc>
        <w:tc>
          <w:tcPr>
            <w:tcW w:w="923" w:type="dxa"/>
            <w:shd w:val="clear" w:color="auto" w:fill="auto"/>
          </w:tcPr>
          <w:p w14:paraId="2FEF912A" w14:textId="77777777" w:rsidR="002521F5" w:rsidRPr="007A03C2" w:rsidRDefault="002521F5" w:rsidP="00511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Dotacijos dydis, Eur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14:paraId="2FEF912B" w14:textId="77777777" w:rsidR="002521F5" w:rsidRPr="007A03C2" w:rsidRDefault="002521F5" w:rsidP="00511CF7">
            <w:pPr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Naudojamas</w:t>
            </w:r>
          </w:p>
          <w:p w14:paraId="2FEF912C" w14:textId="77777777" w:rsidR="002521F5" w:rsidRPr="007A03C2" w:rsidRDefault="002521F5" w:rsidP="00511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dotacijos dydis, Eur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D908" w14:textId="15E6F913" w:rsidR="002521F5" w:rsidRPr="002521F5" w:rsidRDefault="002521F5" w:rsidP="00511CF7">
            <w:r w:rsidRPr="002521F5">
              <w:t>“</w:t>
            </w:r>
          </w:p>
        </w:tc>
      </w:tr>
      <w:tr w:rsidR="002521F5" w:rsidRPr="007A03C2" w14:paraId="2FEF9138" w14:textId="7AE6D6BA" w:rsidTr="002521F5">
        <w:tc>
          <w:tcPr>
            <w:tcW w:w="861" w:type="dxa"/>
            <w:shd w:val="clear" w:color="auto" w:fill="auto"/>
          </w:tcPr>
          <w:p w14:paraId="2FEF912E" w14:textId="77777777" w:rsidR="002521F5" w:rsidRPr="007A03C2" w:rsidRDefault="002521F5" w:rsidP="00511CF7">
            <w:pPr>
              <w:jc w:val="both"/>
            </w:pPr>
            <w:r w:rsidRPr="007A03C2">
              <w:t>1</w:t>
            </w:r>
          </w:p>
        </w:tc>
        <w:tc>
          <w:tcPr>
            <w:tcW w:w="970" w:type="dxa"/>
            <w:shd w:val="clear" w:color="auto" w:fill="auto"/>
          </w:tcPr>
          <w:p w14:paraId="2FEF912F" w14:textId="77777777" w:rsidR="002521F5" w:rsidRPr="007A03C2" w:rsidRDefault="002521F5" w:rsidP="00511CF7">
            <w:pPr>
              <w:jc w:val="both"/>
            </w:pPr>
            <w:r w:rsidRPr="007A03C2">
              <w:t>2</w:t>
            </w:r>
          </w:p>
        </w:tc>
        <w:tc>
          <w:tcPr>
            <w:tcW w:w="908" w:type="dxa"/>
            <w:shd w:val="clear" w:color="auto" w:fill="auto"/>
          </w:tcPr>
          <w:p w14:paraId="2FEF9130" w14:textId="77777777" w:rsidR="002521F5" w:rsidRPr="007A03C2" w:rsidRDefault="002521F5" w:rsidP="00511CF7">
            <w:pPr>
              <w:jc w:val="both"/>
            </w:pPr>
            <w:r w:rsidRPr="007A03C2">
              <w:t>3</w:t>
            </w:r>
          </w:p>
        </w:tc>
        <w:tc>
          <w:tcPr>
            <w:tcW w:w="884" w:type="dxa"/>
            <w:shd w:val="clear" w:color="auto" w:fill="auto"/>
          </w:tcPr>
          <w:p w14:paraId="2FEF9131" w14:textId="77777777" w:rsidR="002521F5" w:rsidRPr="007A03C2" w:rsidRDefault="002521F5" w:rsidP="00511CF7">
            <w:pPr>
              <w:jc w:val="both"/>
            </w:pPr>
            <w:r w:rsidRPr="007A03C2">
              <w:t>4</w:t>
            </w:r>
          </w:p>
        </w:tc>
        <w:tc>
          <w:tcPr>
            <w:tcW w:w="946" w:type="dxa"/>
            <w:shd w:val="clear" w:color="auto" w:fill="auto"/>
          </w:tcPr>
          <w:p w14:paraId="2FEF9132" w14:textId="77777777" w:rsidR="002521F5" w:rsidRPr="007A03C2" w:rsidRDefault="002521F5" w:rsidP="00511CF7">
            <w:pPr>
              <w:jc w:val="both"/>
            </w:pPr>
            <w:r w:rsidRPr="007A03C2">
              <w:t>5</w:t>
            </w:r>
          </w:p>
        </w:tc>
        <w:tc>
          <w:tcPr>
            <w:tcW w:w="793" w:type="dxa"/>
            <w:shd w:val="clear" w:color="auto" w:fill="auto"/>
          </w:tcPr>
          <w:p w14:paraId="2FEF9133" w14:textId="77777777" w:rsidR="002521F5" w:rsidRPr="007A03C2" w:rsidRDefault="002521F5" w:rsidP="00511CF7">
            <w:pPr>
              <w:jc w:val="both"/>
            </w:pPr>
            <w:r w:rsidRPr="007A03C2">
              <w:t>6</w:t>
            </w:r>
          </w:p>
        </w:tc>
        <w:tc>
          <w:tcPr>
            <w:tcW w:w="939" w:type="dxa"/>
            <w:shd w:val="clear" w:color="auto" w:fill="auto"/>
          </w:tcPr>
          <w:p w14:paraId="2FEF9134" w14:textId="77777777" w:rsidR="002521F5" w:rsidRPr="007A03C2" w:rsidRDefault="002521F5" w:rsidP="00511CF7">
            <w:pPr>
              <w:jc w:val="both"/>
            </w:pPr>
            <w:r w:rsidRPr="007A03C2">
              <w:t>7</w:t>
            </w:r>
          </w:p>
        </w:tc>
        <w:tc>
          <w:tcPr>
            <w:tcW w:w="1006" w:type="dxa"/>
            <w:shd w:val="clear" w:color="auto" w:fill="auto"/>
          </w:tcPr>
          <w:p w14:paraId="2FEF9135" w14:textId="77777777" w:rsidR="002521F5" w:rsidRPr="007A03C2" w:rsidRDefault="002521F5" w:rsidP="00511CF7">
            <w:pPr>
              <w:jc w:val="both"/>
            </w:pPr>
            <w:r w:rsidRPr="007A03C2">
              <w:t>8</w:t>
            </w:r>
          </w:p>
        </w:tc>
        <w:tc>
          <w:tcPr>
            <w:tcW w:w="923" w:type="dxa"/>
            <w:shd w:val="clear" w:color="auto" w:fill="auto"/>
          </w:tcPr>
          <w:p w14:paraId="2FEF9136" w14:textId="77777777" w:rsidR="002521F5" w:rsidRPr="007A03C2" w:rsidRDefault="002521F5" w:rsidP="00511CF7">
            <w:pPr>
              <w:jc w:val="both"/>
            </w:pPr>
            <w:r w:rsidRPr="007A03C2">
              <w:t>9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14:paraId="2FEF9137" w14:textId="77777777" w:rsidR="002521F5" w:rsidRPr="007A03C2" w:rsidRDefault="002521F5" w:rsidP="00511CF7">
            <w:pPr>
              <w:jc w:val="both"/>
            </w:pPr>
            <w:r w:rsidRPr="007A03C2">
              <w:t>10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A113" w14:textId="77777777" w:rsidR="002521F5" w:rsidRPr="007A03C2" w:rsidRDefault="002521F5" w:rsidP="00511CF7">
            <w:pPr>
              <w:jc w:val="both"/>
            </w:pPr>
          </w:p>
        </w:tc>
      </w:tr>
      <w:tr w:rsidR="002521F5" w:rsidRPr="007A03C2" w14:paraId="2FEF9143" w14:textId="1FD800FD" w:rsidTr="002521F5">
        <w:tc>
          <w:tcPr>
            <w:tcW w:w="861" w:type="dxa"/>
            <w:shd w:val="clear" w:color="auto" w:fill="auto"/>
          </w:tcPr>
          <w:p w14:paraId="2FEF9139" w14:textId="77777777" w:rsidR="002521F5" w:rsidRPr="007A03C2" w:rsidRDefault="002521F5" w:rsidP="00511CF7">
            <w:pPr>
              <w:jc w:val="both"/>
            </w:pPr>
          </w:p>
        </w:tc>
        <w:tc>
          <w:tcPr>
            <w:tcW w:w="970" w:type="dxa"/>
            <w:shd w:val="clear" w:color="auto" w:fill="auto"/>
          </w:tcPr>
          <w:p w14:paraId="2FEF913A" w14:textId="77777777" w:rsidR="002521F5" w:rsidRPr="007A03C2" w:rsidRDefault="002521F5" w:rsidP="00511CF7">
            <w:pPr>
              <w:jc w:val="both"/>
            </w:pPr>
            <w:r w:rsidRPr="007A03C2">
              <w:t>1x20%</w:t>
            </w:r>
          </w:p>
        </w:tc>
        <w:tc>
          <w:tcPr>
            <w:tcW w:w="908" w:type="dxa"/>
            <w:shd w:val="clear" w:color="auto" w:fill="auto"/>
          </w:tcPr>
          <w:p w14:paraId="2FEF913B" w14:textId="77777777" w:rsidR="002521F5" w:rsidRPr="007A03C2" w:rsidRDefault="002521F5" w:rsidP="00511CF7">
            <w:pPr>
              <w:jc w:val="both"/>
            </w:pPr>
          </w:p>
        </w:tc>
        <w:tc>
          <w:tcPr>
            <w:tcW w:w="884" w:type="dxa"/>
            <w:shd w:val="clear" w:color="auto" w:fill="auto"/>
          </w:tcPr>
          <w:p w14:paraId="2FEF913C" w14:textId="77777777" w:rsidR="002521F5" w:rsidRPr="007A03C2" w:rsidRDefault="002521F5" w:rsidP="00511CF7">
            <w:pPr>
              <w:jc w:val="both"/>
            </w:pPr>
            <w:r w:rsidRPr="007A03C2">
              <w:t>2:3</w:t>
            </w:r>
          </w:p>
        </w:tc>
        <w:tc>
          <w:tcPr>
            <w:tcW w:w="946" w:type="dxa"/>
            <w:shd w:val="clear" w:color="auto" w:fill="auto"/>
          </w:tcPr>
          <w:p w14:paraId="2FEF913D" w14:textId="77777777" w:rsidR="002521F5" w:rsidRPr="007A03C2" w:rsidRDefault="002521F5" w:rsidP="00511CF7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14:paraId="2FEF913E" w14:textId="77777777" w:rsidR="002521F5" w:rsidRPr="007A03C2" w:rsidRDefault="002521F5" w:rsidP="00511C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14:paraId="2FEF913F" w14:textId="77777777" w:rsidR="002521F5" w:rsidRPr="007A03C2" w:rsidRDefault="002521F5" w:rsidP="00511CF7">
            <w:pPr>
              <w:jc w:val="both"/>
            </w:pPr>
            <w:r w:rsidRPr="007A03C2">
              <w:t>5x6</w:t>
            </w:r>
          </w:p>
        </w:tc>
        <w:tc>
          <w:tcPr>
            <w:tcW w:w="1006" w:type="dxa"/>
            <w:shd w:val="clear" w:color="auto" w:fill="auto"/>
          </w:tcPr>
          <w:p w14:paraId="2FEF9140" w14:textId="77777777" w:rsidR="002521F5" w:rsidRPr="007A03C2" w:rsidRDefault="002521F5" w:rsidP="00511CF7">
            <w:pPr>
              <w:jc w:val="both"/>
            </w:pPr>
            <w:r w:rsidRPr="007A03C2">
              <w:t>4x5</w:t>
            </w:r>
          </w:p>
        </w:tc>
        <w:tc>
          <w:tcPr>
            <w:tcW w:w="923" w:type="dxa"/>
            <w:shd w:val="clear" w:color="auto" w:fill="auto"/>
          </w:tcPr>
          <w:p w14:paraId="2FEF9141" w14:textId="77777777" w:rsidR="002521F5" w:rsidRPr="007A03C2" w:rsidRDefault="002521F5" w:rsidP="00511CF7">
            <w:pPr>
              <w:jc w:val="both"/>
            </w:pP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14:paraId="2FEF9142" w14:textId="77777777" w:rsidR="002521F5" w:rsidRPr="007A03C2" w:rsidRDefault="002521F5" w:rsidP="00511CF7">
            <w:pPr>
              <w:jc w:val="both"/>
            </w:pPr>
            <w:r w:rsidRPr="007A03C2">
              <w:t>7-8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AAE65" w14:textId="58EE0BCB" w:rsidR="002521F5" w:rsidRPr="007A03C2" w:rsidRDefault="002521F5" w:rsidP="00511CF7">
            <w:pPr>
              <w:jc w:val="both"/>
            </w:pPr>
            <w:r>
              <w:t>;</w:t>
            </w:r>
          </w:p>
        </w:tc>
      </w:tr>
    </w:tbl>
    <w:p w14:paraId="2FEF9144" w14:textId="18146D7B" w:rsidR="00547B32" w:rsidRDefault="00C452B5" w:rsidP="002521F5">
      <w:pPr>
        <w:ind w:firstLine="709"/>
        <w:jc w:val="both"/>
      </w:pPr>
      <w:r>
        <w:t xml:space="preserve">1.2. pakeisti 38 punktą ir </w:t>
      </w:r>
      <w:r w:rsidR="002521F5">
        <w:t xml:space="preserve">jį išdėstyti </w:t>
      </w:r>
      <w:r>
        <w:t>taip:</w:t>
      </w:r>
    </w:p>
    <w:p w14:paraId="2FEF9145" w14:textId="77777777" w:rsidR="00C452B5" w:rsidRPr="00C239B1" w:rsidRDefault="00C452B5" w:rsidP="002521F5">
      <w:pPr>
        <w:ind w:firstLine="709"/>
        <w:jc w:val="both"/>
      </w:pPr>
      <w:r>
        <w:t xml:space="preserve">„38. </w:t>
      </w:r>
      <w:r w:rsidRPr="00C239B1">
        <w:t>Asmens, gyvenančio šeimoje, kurios pajamos vienam šeimos nariui neviršija valstybės remiamų pajamų trigubo dydžio, mokėjimo už vieną kalendorinį mėnesį teikiamą dienos socialinę globą dydis neturi viršyti 20 procentų asmens pajamų:</w:t>
      </w:r>
    </w:p>
    <w:p w14:paraId="2FEF9146" w14:textId="77777777" w:rsidR="00C452B5" w:rsidRPr="00C239B1" w:rsidRDefault="00C452B5" w:rsidP="00C452B5">
      <w:pPr>
        <w:jc w:val="both"/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67"/>
        <w:gridCol w:w="966"/>
        <w:gridCol w:w="887"/>
        <w:gridCol w:w="856"/>
        <w:gridCol w:w="936"/>
        <w:gridCol w:w="741"/>
        <w:gridCol w:w="957"/>
        <w:gridCol w:w="975"/>
        <w:gridCol w:w="1064"/>
        <w:gridCol w:w="1116"/>
        <w:gridCol w:w="318"/>
      </w:tblGrid>
      <w:tr w:rsidR="002521F5" w:rsidRPr="007A03C2" w14:paraId="2FEF9153" w14:textId="1D1C92B0" w:rsidTr="002521F5">
        <w:tc>
          <w:tcPr>
            <w:tcW w:w="861" w:type="dxa"/>
            <w:shd w:val="clear" w:color="auto" w:fill="auto"/>
          </w:tcPr>
          <w:p w14:paraId="2FEF9147" w14:textId="77777777" w:rsidR="002521F5" w:rsidRPr="007A03C2" w:rsidRDefault="002521F5" w:rsidP="00C452B5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Asmens vieno mėnesio pajamos, </w:t>
            </w:r>
            <w:r>
              <w:rPr>
                <w:sz w:val="18"/>
                <w:szCs w:val="18"/>
              </w:rPr>
              <w:t>Eur</w:t>
            </w:r>
          </w:p>
        </w:tc>
        <w:tc>
          <w:tcPr>
            <w:tcW w:w="567" w:type="dxa"/>
            <w:shd w:val="clear" w:color="auto" w:fill="auto"/>
          </w:tcPr>
          <w:p w14:paraId="2FEF9148" w14:textId="77777777" w:rsidR="002521F5" w:rsidRPr="007A03C2" w:rsidRDefault="002521F5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3 VRP</w:t>
            </w:r>
          </w:p>
        </w:tc>
        <w:tc>
          <w:tcPr>
            <w:tcW w:w="966" w:type="dxa"/>
            <w:shd w:val="clear" w:color="auto" w:fill="auto"/>
          </w:tcPr>
          <w:p w14:paraId="2FEF9149" w14:textId="77777777" w:rsidR="002521F5" w:rsidRPr="007A03C2" w:rsidRDefault="002521F5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Mokėjimo už paslaugą </w:t>
            </w:r>
            <w:r>
              <w:rPr>
                <w:sz w:val="18"/>
                <w:szCs w:val="18"/>
              </w:rPr>
              <w:t>20 proc. asmens pajamų dydis, Eur</w:t>
            </w:r>
          </w:p>
        </w:tc>
        <w:tc>
          <w:tcPr>
            <w:tcW w:w="887" w:type="dxa"/>
            <w:shd w:val="clear" w:color="auto" w:fill="auto"/>
          </w:tcPr>
          <w:p w14:paraId="2FEF914A" w14:textId="77777777" w:rsidR="002521F5" w:rsidRPr="007A03C2" w:rsidRDefault="002521F5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Vidutinis darbo val. skaičius per mėn.</w:t>
            </w:r>
          </w:p>
        </w:tc>
        <w:tc>
          <w:tcPr>
            <w:tcW w:w="856" w:type="dxa"/>
            <w:shd w:val="clear" w:color="auto" w:fill="auto"/>
          </w:tcPr>
          <w:p w14:paraId="2FEF914B" w14:textId="77777777" w:rsidR="002521F5" w:rsidRPr="007A03C2" w:rsidRDefault="002521F5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20 proc. vidutinis asmens valandos pajamų dydis</w:t>
            </w:r>
          </w:p>
        </w:tc>
        <w:tc>
          <w:tcPr>
            <w:tcW w:w="936" w:type="dxa"/>
            <w:shd w:val="clear" w:color="auto" w:fill="auto"/>
          </w:tcPr>
          <w:p w14:paraId="2FEF914C" w14:textId="77777777" w:rsidR="002521F5" w:rsidRPr="007A03C2" w:rsidRDefault="002521F5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Paslaugos teikimo val. skaičius per mėn.</w:t>
            </w:r>
          </w:p>
        </w:tc>
        <w:tc>
          <w:tcPr>
            <w:tcW w:w="741" w:type="dxa"/>
            <w:shd w:val="clear" w:color="auto" w:fill="auto"/>
          </w:tcPr>
          <w:p w14:paraId="2FEF914D" w14:textId="77777777" w:rsidR="002521F5" w:rsidRPr="007A03C2" w:rsidRDefault="002521F5" w:rsidP="00511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Vienos val. įkainis, Eur</w:t>
            </w:r>
          </w:p>
        </w:tc>
        <w:tc>
          <w:tcPr>
            <w:tcW w:w="957" w:type="dxa"/>
            <w:shd w:val="clear" w:color="auto" w:fill="auto"/>
          </w:tcPr>
          <w:p w14:paraId="2FEF914E" w14:textId="77777777" w:rsidR="002521F5" w:rsidRPr="007A03C2" w:rsidRDefault="002521F5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Visa paslau</w:t>
            </w:r>
            <w:r>
              <w:rPr>
                <w:sz w:val="18"/>
                <w:szCs w:val="18"/>
              </w:rPr>
              <w:t>gos kaina, Eur</w:t>
            </w:r>
          </w:p>
        </w:tc>
        <w:tc>
          <w:tcPr>
            <w:tcW w:w="975" w:type="dxa"/>
            <w:shd w:val="clear" w:color="auto" w:fill="auto"/>
          </w:tcPr>
          <w:p w14:paraId="2FEF914F" w14:textId="77777777" w:rsidR="002521F5" w:rsidRPr="007A03C2" w:rsidRDefault="002521F5" w:rsidP="00511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Asmens pajamomis mokama suma, Eur</w:t>
            </w:r>
          </w:p>
        </w:tc>
        <w:tc>
          <w:tcPr>
            <w:tcW w:w="1064" w:type="dxa"/>
            <w:shd w:val="clear" w:color="auto" w:fill="auto"/>
          </w:tcPr>
          <w:p w14:paraId="2FEF9150" w14:textId="77777777" w:rsidR="002521F5" w:rsidRPr="007A03C2" w:rsidRDefault="002521F5" w:rsidP="00511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Dotacijos dydis, Eur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51" w14:textId="77777777" w:rsidR="002521F5" w:rsidRPr="007A03C2" w:rsidRDefault="002521F5" w:rsidP="00511CF7">
            <w:pPr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Naudojamas</w:t>
            </w:r>
          </w:p>
          <w:p w14:paraId="2FEF9152" w14:textId="77777777" w:rsidR="002521F5" w:rsidRPr="007A03C2" w:rsidRDefault="002521F5" w:rsidP="00511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dotacijos dydis, Eur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4329E" w14:textId="3209596B" w:rsidR="002521F5" w:rsidRPr="002521F5" w:rsidRDefault="002521F5" w:rsidP="00511CF7">
            <w:r w:rsidRPr="002521F5">
              <w:t>“</w:t>
            </w:r>
          </w:p>
        </w:tc>
      </w:tr>
      <w:tr w:rsidR="002521F5" w:rsidRPr="007A03C2" w14:paraId="2FEF915F" w14:textId="2986B895" w:rsidTr="002521F5">
        <w:tc>
          <w:tcPr>
            <w:tcW w:w="861" w:type="dxa"/>
            <w:shd w:val="clear" w:color="auto" w:fill="auto"/>
          </w:tcPr>
          <w:p w14:paraId="2FEF9154" w14:textId="77777777" w:rsidR="002521F5" w:rsidRPr="007A03C2" w:rsidRDefault="002521F5" w:rsidP="00511CF7">
            <w:pPr>
              <w:jc w:val="both"/>
            </w:pPr>
            <w:r w:rsidRPr="007A03C2">
              <w:t>1</w:t>
            </w:r>
          </w:p>
        </w:tc>
        <w:tc>
          <w:tcPr>
            <w:tcW w:w="567" w:type="dxa"/>
            <w:shd w:val="clear" w:color="auto" w:fill="auto"/>
          </w:tcPr>
          <w:p w14:paraId="2FEF9155" w14:textId="77777777" w:rsidR="002521F5" w:rsidRPr="007A03C2" w:rsidRDefault="002521F5" w:rsidP="00511CF7">
            <w:pPr>
              <w:jc w:val="both"/>
            </w:pPr>
            <w:r w:rsidRPr="007A03C2">
              <w:t>2</w:t>
            </w:r>
          </w:p>
        </w:tc>
        <w:tc>
          <w:tcPr>
            <w:tcW w:w="966" w:type="dxa"/>
            <w:shd w:val="clear" w:color="auto" w:fill="auto"/>
          </w:tcPr>
          <w:p w14:paraId="2FEF9156" w14:textId="77777777" w:rsidR="002521F5" w:rsidRPr="007A03C2" w:rsidRDefault="002521F5" w:rsidP="00511CF7">
            <w:pPr>
              <w:jc w:val="both"/>
            </w:pPr>
            <w:r w:rsidRPr="007A03C2">
              <w:t>3</w:t>
            </w:r>
          </w:p>
        </w:tc>
        <w:tc>
          <w:tcPr>
            <w:tcW w:w="887" w:type="dxa"/>
            <w:shd w:val="clear" w:color="auto" w:fill="auto"/>
          </w:tcPr>
          <w:p w14:paraId="2FEF9157" w14:textId="77777777" w:rsidR="002521F5" w:rsidRPr="007A03C2" w:rsidRDefault="002521F5" w:rsidP="00511CF7">
            <w:pPr>
              <w:jc w:val="both"/>
            </w:pPr>
            <w:r w:rsidRPr="007A03C2">
              <w:t>4</w:t>
            </w:r>
          </w:p>
        </w:tc>
        <w:tc>
          <w:tcPr>
            <w:tcW w:w="856" w:type="dxa"/>
            <w:shd w:val="clear" w:color="auto" w:fill="auto"/>
          </w:tcPr>
          <w:p w14:paraId="2FEF9158" w14:textId="77777777" w:rsidR="002521F5" w:rsidRPr="007A03C2" w:rsidRDefault="002521F5" w:rsidP="00511CF7">
            <w:pPr>
              <w:jc w:val="both"/>
            </w:pPr>
            <w:r w:rsidRPr="007A03C2">
              <w:t>5</w:t>
            </w:r>
          </w:p>
        </w:tc>
        <w:tc>
          <w:tcPr>
            <w:tcW w:w="936" w:type="dxa"/>
            <w:shd w:val="clear" w:color="auto" w:fill="auto"/>
          </w:tcPr>
          <w:p w14:paraId="2FEF9159" w14:textId="77777777" w:rsidR="002521F5" w:rsidRPr="007A03C2" w:rsidRDefault="002521F5" w:rsidP="00511CF7">
            <w:pPr>
              <w:jc w:val="both"/>
            </w:pPr>
            <w:r w:rsidRPr="007A03C2">
              <w:t>6</w:t>
            </w:r>
          </w:p>
        </w:tc>
        <w:tc>
          <w:tcPr>
            <w:tcW w:w="741" w:type="dxa"/>
            <w:shd w:val="clear" w:color="auto" w:fill="auto"/>
          </w:tcPr>
          <w:p w14:paraId="2FEF915A" w14:textId="77777777" w:rsidR="002521F5" w:rsidRPr="007A03C2" w:rsidRDefault="002521F5" w:rsidP="00511CF7">
            <w:pPr>
              <w:jc w:val="both"/>
            </w:pPr>
            <w:r w:rsidRPr="007A03C2">
              <w:t>7</w:t>
            </w:r>
          </w:p>
        </w:tc>
        <w:tc>
          <w:tcPr>
            <w:tcW w:w="957" w:type="dxa"/>
            <w:shd w:val="clear" w:color="auto" w:fill="auto"/>
          </w:tcPr>
          <w:p w14:paraId="2FEF915B" w14:textId="77777777" w:rsidR="002521F5" w:rsidRPr="007A03C2" w:rsidRDefault="002521F5" w:rsidP="00511CF7">
            <w:pPr>
              <w:jc w:val="both"/>
            </w:pPr>
            <w:r w:rsidRPr="007A03C2">
              <w:t>8</w:t>
            </w:r>
          </w:p>
        </w:tc>
        <w:tc>
          <w:tcPr>
            <w:tcW w:w="975" w:type="dxa"/>
            <w:shd w:val="clear" w:color="auto" w:fill="auto"/>
          </w:tcPr>
          <w:p w14:paraId="2FEF915C" w14:textId="77777777" w:rsidR="002521F5" w:rsidRPr="007A03C2" w:rsidRDefault="002521F5" w:rsidP="00511CF7">
            <w:pPr>
              <w:jc w:val="both"/>
            </w:pPr>
            <w:r w:rsidRPr="007A03C2">
              <w:t>9</w:t>
            </w:r>
          </w:p>
        </w:tc>
        <w:tc>
          <w:tcPr>
            <w:tcW w:w="1064" w:type="dxa"/>
            <w:shd w:val="clear" w:color="auto" w:fill="auto"/>
          </w:tcPr>
          <w:p w14:paraId="2FEF915D" w14:textId="77777777" w:rsidR="002521F5" w:rsidRPr="007A03C2" w:rsidRDefault="002521F5" w:rsidP="00511CF7">
            <w:pPr>
              <w:jc w:val="both"/>
            </w:pPr>
            <w:r w:rsidRPr="007A03C2">
              <w:t>10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5E" w14:textId="77777777" w:rsidR="002521F5" w:rsidRPr="007A03C2" w:rsidRDefault="002521F5" w:rsidP="00511CF7">
            <w:pPr>
              <w:jc w:val="both"/>
            </w:pPr>
            <w:r w:rsidRPr="007A03C2">
              <w:t>11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3F63C" w14:textId="77777777" w:rsidR="002521F5" w:rsidRPr="007A03C2" w:rsidRDefault="002521F5" w:rsidP="00511CF7">
            <w:pPr>
              <w:jc w:val="both"/>
            </w:pPr>
          </w:p>
        </w:tc>
      </w:tr>
      <w:tr w:rsidR="002521F5" w:rsidRPr="007A03C2" w14:paraId="2FEF916B" w14:textId="05EA27EE" w:rsidTr="002521F5">
        <w:tc>
          <w:tcPr>
            <w:tcW w:w="861" w:type="dxa"/>
            <w:shd w:val="clear" w:color="auto" w:fill="auto"/>
          </w:tcPr>
          <w:p w14:paraId="2FEF9160" w14:textId="77777777" w:rsidR="002521F5" w:rsidRPr="007A03C2" w:rsidRDefault="002521F5" w:rsidP="00511CF7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FEF9161" w14:textId="77777777" w:rsidR="002521F5" w:rsidRPr="007A03C2" w:rsidRDefault="002521F5" w:rsidP="00511CF7">
            <w:pPr>
              <w:jc w:val="both"/>
            </w:pPr>
          </w:p>
        </w:tc>
        <w:tc>
          <w:tcPr>
            <w:tcW w:w="966" w:type="dxa"/>
            <w:shd w:val="clear" w:color="auto" w:fill="auto"/>
          </w:tcPr>
          <w:p w14:paraId="2FEF9162" w14:textId="77777777" w:rsidR="002521F5" w:rsidRPr="007A03C2" w:rsidRDefault="002521F5" w:rsidP="00511CF7">
            <w:pPr>
              <w:jc w:val="both"/>
            </w:pPr>
            <w:r w:rsidRPr="007A03C2">
              <w:t>1x20%</w:t>
            </w:r>
          </w:p>
        </w:tc>
        <w:tc>
          <w:tcPr>
            <w:tcW w:w="887" w:type="dxa"/>
            <w:shd w:val="clear" w:color="auto" w:fill="auto"/>
          </w:tcPr>
          <w:p w14:paraId="2FEF9163" w14:textId="77777777" w:rsidR="002521F5" w:rsidRPr="007A03C2" w:rsidRDefault="002521F5" w:rsidP="00511CF7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14:paraId="2FEF9164" w14:textId="77777777" w:rsidR="002521F5" w:rsidRPr="007A03C2" w:rsidRDefault="002521F5" w:rsidP="00511CF7">
            <w:pPr>
              <w:jc w:val="both"/>
            </w:pPr>
            <w:r w:rsidRPr="007A03C2">
              <w:t>3:4</w:t>
            </w:r>
          </w:p>
        </w:tc>
        <w:tc>
          <w:tcPr>
            <w:tcW w:w="936" w:type="dxa"/>
            <w:shd w:val="clear" w:color="auto" w:fill="auto"/>
          </w:tcPr>
          <w:p w14:paraId="2FEF9165" w14:textId="77777777" w:rsidR="002521F5" w:rsidRPr="007A03C2" w:rsidRDefault="002521F5" w:rsidP="00511CF7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14:paraId="2FEF9166" w14:textId="77777777" w:rsidR="002521F5" w:rsidRPr="007A03C2" w:rsidRDefault="002521F5" w:rsidP="00511CF7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14:paraId="2FEF9167" w14:textId="77777777" w:rsidR="002521F5" w:rsidRPr="007A03C2" w:rsidRDefault="002521F5" w:rsidP="00511CF7">
            <w:pPr>
              <w:jc w:val="both"/>
            </w:pPr>
            <w:r w:rsidRPr="007A03C2">
              <w:t>6x7</w:t>
            </w:r>
          </w:p>
        </w:tc>
        <w:tc>
          <w:tcPr>
            <w:tcW w:w="975" w:type="dxa"/>
            <w:shd w:val="clear" w:color="auto" w:fill="auto"/>
          </w:tcPr>
          <w:p w14:paraId="2FEF9168" w14:textId="77777777" w:rsidR="002521F5" w:rsidRPr="007A03C2" w:rsidRDefault="002521F5" w:rsidP="00511CF7">
            <w:pPr>
              <w:jc w:val="both"/>
            </w:pPr>
            <w:r w:rsidRPr="007A03C2">
              <w:t>5x6</w:t>
            </w:r>
          </w:p>
        </w:tc>
        <w:tc>
          <w:tcPr>
            <w:tcW w:w="1064" w:type="dxa"/>
            <w:shd w:val="clear" w:color="auto" w:fill="auto"/>
          </w:tcPr>
          <w:p w14:paraId="2FEF9169" w14:textId="77777777" w:rsidR="002521F5" w:rsidRPr="007A03C2" w:rsidRDefault="002521F5" w:rsidP="00511CF7">
            <w:pPr>
              <w:jc w:val="both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6A" w14:textId="77777777" w:rsidR="002521F5" w:rsidRPr="007A03C2" w:rsidRDefault="002521F5" w:rsidP="00511CF7">
            <w:pPr>
              <w:jc w:val="both"/>
            </w:pPr>
            <w:r w:rsidRPr="007A03C2">
              <w:t>8-9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A778F" w14:textId="2BB835EA" w:rsidR="002521F5" w:rsidRPr="007A03C2" w:rsidRDefault="002521F5" w:rsidP="00511CF7">
            <w:pPr>
              <w:jc w:val="both"/>
            </w:pPr>
            <w:r>
              <w:t>;</w:t>
            </w:r>
          </w:p>
        </w:tc>
      </w:tr>
    </w:tbl>
    <w:p w14:paraId="2FEF916C" w14:textId="22AA6332" w:rsidR="00C452B5" w:rsidRDefault="00E31A4B" w:rsidP="00EB4B96">
      <w:pPr>
        <w:ind w:left="709"/>
        <w:jc w:val="both"/>
      </w:pPr>
      <w:r>
        <w:t xml:space="preserve">1.3. pakeisti 39 punktą ir </w:t>
      </w:r>
      <w:r w:rsidR="00197FF0">
        <w:t xml:space="preserve">jį išdėstyti </w:t>
      </w:r>
      <w:r>
        <w:t>taip:</w:t>
      </w:r>
    </w:p>
    <w:p w14:paraId="2FEF916D" w14:textId="54F915E4" w:rsidR="00E31A4B" w:rsidRPr="00C239B1" w:rsidRDefault="00E31A4B" w:rsidP="002521F5">
      <w:pPr>
        <w:ind w:firstLine="709"/>
        <w:jc w:val="both"/>
      </w:pPr>
      <w:r>
        <w:t xml:space="preserve">„39. </w:t>
      </w:r>
      <w:r w:rsidRPr="00C239B1">
        <w:t>Asmens, gyvenančio šeimoje, kurios pajamos vienam šeimos nariui viršija valstybės remiamų pajamų trigubą dydį, mokėjimo už vieną kalendorinį mėnesį teikiamą dienos socialinę globą dydis neturi viršyti 50 procentų asmens pajamų:</w:t>
      </w:r>
    </w:p>
    <w:p w14:paraId="2FEF916E" w14:textId="77777777" w:rsidR="00E31A4B" w:rsidRPr="00C239B1" w:rsidRDefault="00E31A4B" w:rsidP="00E31A4B">
      <w:pPr>
        <w:jc w:val="both"/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67"/>
        <w:gridCol w:w="966"/>
        <w:gridCol w:w="887"/>
        <w:gridCol w:w="856"/>
        <w:gridCol w:w="936"/>
        <w:gridCol w:w="741"/>
        <w:gridCol w:w="926"/>
        <w:gridCol w:w="1006"/>
        <w:gridCol w:w="1058"/>
        <w:gridCol w:w="1116"/>
        <w:gridCol w:w="323"/>
      </w:tblGrid>
      <w:tr w:rsidR="00197FF0" w:rsidRPr="007A03C2" w14:paraId="2FEF917B" w14:textId="002863BF" w:rsidTr="00197FF0">
        <w:tc>
          <w:tcPr>
            <w:tcW w:w="861" w:type="dxa"/>
            <w:shd w:val="clear" w:color="auto" w:fill="auto"/>
          </w:tcPr>
          <w:p w14:paraId="2FEF916F" w14:textId="77777777" w:rsidR="00197FF0" w:rsidRPr="007A03C2" w:rsidRDefault="00197FF0" w:rsidP="00E31A4B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Asmens vieno mėnesio pajamos, </w:t>
            </w:r>
            <w:r>
              <w:rPr>
                <w:sz w:val="18"/>
                <w:szCs w:val="18"/>
              </w:rPr>
              <w:t>Eur</w:t>
            </w:r>
          </w:p>
        </w:tc>
        <w:tc>
          <w:tcPr>
            <w:tcW w:w="567" w:type="dxa"/>
            <w:shd w:val="clear" w:color="auto" w:fill="auto"/>
          </w:tcPr>
          <w:p w14:paraId="2FEF9170" w14:textId="77777777" w:rsidR="00197FF0" w:rsidRPr="007A03C2" w:rsidRDefault="00197FF0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3 VRP</w:t>
            </w:r>
          </w:p>
        </w:tc>
        <w:tc>
          <w:tcPr>
            <w:tcW w:w="966" w:type="dxa"/>
            <w:shd w:val="clear" w:color="auto" w:fill="auto"/>
          </w:tcPr>
          <w:p w14:paraId="2FEF9171" w14:textId="77777777" w:rsidR="00197FF0" w:rsidRPr="007A03C2" w:rsidRDefault="00197FF0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 xml:space="preserve">Mokėjimo už paslaugą </w:t>
            </w:r>
            <w:r>
              <w:rPr>
                <w:sz w:val="18"/>
                <w:szCs w:val="18"/>
              </w:rPr>
              <w:t>50 proc. asmens pajamų dydis, Eur</w:t>
            </w:r>
          </w:p>
        </w:tc>
        <w:tc>
          <w:tcPr>
            <w:tcW w:w="887" w:type="dxa"/>
            <w:shd w:val="clear" w:color="auto" w:fill="auto"/>
          </w:tcPr>
          <w:p w14:paraId="2FEF9172" w14:textId="77777777" w:rsidR="00197FF0" w:rsidRPr="007A03C2" w:rsidRDefault="00197FF0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Vidutinis darbo val. skaičius per mėn.</w:t>
            </w:r>
          </w:p>
        </w:tc>
        <w:tc>
          <w:tcPr>
            <w:tcW w:w="856" w:type="dxa"/>
            <w:shd w:val="clear" w:color="auto" w:fill="auto"/>
          </w:tcPr>
          <w:p w14:paraId="2FEF9173" w14:textId="77777777" w:rsidR="00197FF0" w:rsidRPr="007A03C2" w:rsidRDefault="00197FF0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50 proc. vidutinis asmens valandos pajamų dydis</w:t>
            </w:r>
          </w:p>
        </w:tc>
        <w:tc>
          <w:tcPr>
            <w:tcW w:w="936" w:type="dxa"/>
            <w:shd w:val="clear" w:color="auto" w:fill="auto"/>
          </w:tcPr>
          <w:p w14:paraId="2FEF9174" w14:textId="77777777" w:rsidR="00197FF0" w:rsidRPr="007A03C2" w:rsidRDefault="00197FF0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Paslaugos teikimo val. skaičius per mėn.</w:t>
            </w:r>
          </w:p>
        </w:tc>
        <w:tc>
          <w:tcPr>
            <w:tcW w:w="741" w:type="dxa"/>
            <w:shd w:val="clear" w:color="auto" w:fill="auto"/>
          </w:tcPr>
          <w:p w14:paraId="2FEF9175" w14:textId="77777777" w:rsidR="00197FF0" w:rsidRPr="007A03C2" w:rsidRDefault="00197FF0" w:rsidP="00511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Vienos val. įkainis, Eur</w:t>
            </w:r>
          </w:p>
        </w:tc>
        <w:tc>
          <w:tcPr>
            <w:tcW w:w="926" w:type="dxa"/>
            <w:shd w:val="clear" w:color="auto" w:fill="auto"/>
          </w:tcPr>
          <w:p w14:paraId="2FEF9176" w14:textId="77777777" w:rsidR="00197FF0" w:rsidRPr="007A03C2" w:rsidRDefault="00197FF0" w:rsidP="00511CF7">
            <w:pPr>
              <w:jc w:val="both"/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Visa paslau</w:t>
            </w:r>
            <w:r>
              <w:rPr>
                <w:sz w:val="18"/>
                <w:szCs w:val="18"/>
              </w:rPr>
              <w:t>gos kaina, Eur</w:t>
            </w:r>
          </w:p>
        </w:tc>
        <w:tc>
          <w:tcPr>
            <w:tcW w:w="1006" w:type="dxa"/>
            <w:shd w:val="clear" w:color="auto" w:fill="auto"/>
          </w:tcPr>
          <w:p w14:paraId="2FEF9177" w14:textId="77777777" w:rsidR="00197FF0" w:rsidRPr="007A03C2" w:rsidRDefault="00197FF0" w:rsidP="00511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Asmens pajamomis mokama suma, Eur</w:t>
            </w:r>
          </w:p>
        </w:tc>
        <w:tc>
          <w:tcPr>
            <w:tcW w:w="1064" w:type="dxa"/>
            <w:shd w:val="clear" w:color="auto" w:fill="auto"/>
          </w:tcPr>
          <w:p w14:paraId="2FEF9178" w14:textId="77777777" w:rsidR="00197FF0" w:rsidRPr="007A03C2" w:rsidRDefault="00197FF0" w:rsidP="00511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Dotacijos dydis, Eur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79" w14:textId="77777777" w:rsidR="00197FF0" w:rsidRPr="007A03C2" w:rsidRDefault="00197FF0" w:rsidP="00511CF7">
            <w:pPr>
              <w:rPr>
                <w:sz w:val="18"/>
                <w:szCs w:val="18"/>
              </w:rPr>
            </w:pPr>
            <w:r w:rsidRPr="007A03C2">
              <w:rPr>
                <w:sz w:val="18"/>
                <w:szCs w:val="18"/>
              </w:rPr>
              <w:t>Naudojamas</w:t>
            </w:r>
          </w:p>
          <w:p w14:paraId="2FEF917A" w14:textId="77777777" w:rsidR="00197FF0" w:rsidRPr="007A03C2" w:rsidRDefault="00197FF0" w:rsidP="00511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dotacijos dydis, Eur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594D" w14:textId="121147BB" w:rsidR="00197FF0" w:rsidRPr="00197FF0" w:rsidRDefault="00197FF0" w:rsidP="00511CF7">
            <w:r w:rsidRPr="00197FF0">
              <w:t>“</w:t>
            </w:r>
          </w:p>
        </w:tc>
      </w:tr>
      <w:tr w:rsidR="00197FF0" w:rsidRPr="007A03C2" w14:paraId="2FEF9187" w14:textId="6B799A51" w:rsidTr="00197FF0">
        <w:tc>
          <w:tcPr>
            <w:tcW w:w="861" w:type="dxa"/>
            <w:shd w:val="clear" w:color="auto" w:fill="auto"/>
          </w:tcPr>
          <w:p w14:paraId="2FEF917C" w14:textId="77777777" w:rsidR="00197FF0" w:rsidRPr="007A03C2" w:rsidRDefault="00197FF0" w:rsidP="00511CF7">
            <w:pPr>
              <w:jc w:val="both"/>
            </w:pPr>
            <w:r w:rsidRPr="007A03C2">
              <w:t>1</w:t>
            </w:r>
          </w:p>
        </w:tc>
        <w:tc>
          <w:tcPr>
            <w:tcW w:w="567" w:type="dxa"/>
            <w:shd w:val="clear" w:color="auto" w:fill="auto"/>
          </w:tcPr>
          <w:p w14:paraId="2FEF917D" w14:textId="77777777" w:rsidR="00197FF0" w:rsidRPr="007A03C2" w:rsidRDefault="00197FF0" w:rsidP="00511CF7">
            <w:pPr>
              <w:jc w:val="both"/>
            </w:pPr>
            <w:r w:rsidRPr="007A03C2">
              <w:t>2</w:t>
            </w:r>
          </w:p>
        </w:tc>
        <w:tc>
          <w:tcPr>
            <w:tcW w:w="966" w:type="dxa"/>
            <w:shd w:val="clear" w:color="auto" w:fill="auto"/>
          </w:tcPr>
          <w:p w14:paraId="2FEF917E" w14:textId="77777777" w:rsidR="00197FF0" w:rsidRPr="007A03C2" w:rsidRDefault="00197FF0" w:rsidP="00511CF7">
            <w:pPr>
              <w:jc w:val="both"/>
            </w:pPr>
            <w:r w:rsidRPr="007A03C2">
              <w:t>3</w:t>
            </w:r>
          </w:p>
        </w:tc>
        <w:tc>
          <w:tcPr>
            <w:tcW w:w="887" w:type="dxa"/>
            <w:shd w:val="clear" w:color="auto" w:fill="auto"/>
          </w:tcPr>
          <w:p w14:paraId="2FEF917F" w14:textId="77777777" w:rsidR="00197FF0" w:rsidRPr="007A03C2" w:rsidRDefault="00197FF0" w:rsidP="00511CF7">
            <w:pPr>
              <w:jc w:val="both"/>
            </w:pPr>
            <w:r w:rsidRPr="007A03C2">
              <w:t>4</w:t>
            </w:r>
          </w:p>
        </w:tc>
        <w:tc>
          <w:tcPr>
            <w:tcW w:w="856" w:type="dxa"/>
            <w:shd w:val="clear" w:color="auto" w:fill="auto"/>
          </w:tcPr>
          <w:p w14:paraId="2FEF9180" w14:textId="77777777" w:rsidR="00197FF0" w:rsidRPr="007A03C2" w:rsidRDefault="00197FF0" w:rsidP="00511CF7">
            <w:pPr>
              <w:jc w:val="both"/>
            </w:pPr>
            <w:r w:rsidRPr="007A03C2">
              <w:t>5</w:t>
            </w:r>
          </w:p>
        </w:tc>
        <w:tc>
          <w:tcPr>
            <w:tcW w:w="936" w:type="dxa"/>
            <w:shd w:val="clear" w:color="auto" w:fill="auto"/>
          </w:tcPr>
          <w:p w14:paraId="2FEF9181" w14:textId="77777777" w:rsidR="00197FF0" w:rsidRPr="007A03C2" w:rsidRDefault="00197FF0" w:rsidP="00511CF7">
            <w:pPr>
              <w:jc w:val="both"/>
            </w:pPr>
            <w:r w:rsidRPr="007A03C2">
              <w:t>6</w:t>
            </w:r>
          </w:p>
        </w:tc>
        <w:tc>
          <w:tcPr>
            <w:tcW w:w="741" w:type="dxa"/>
            <w:shd w:val="clear" w:color="auto" w:fill="auto"/>
          </w:tcPr>
          <w:p w14:paraId="2FEF9182" w14:textId="77777777" w:rsidR="00197FF0" w:rsidRPr="007A03C2" w:rsidRDefault="00197FF0" w:rsidP="00511CF7">
            <w:pPr>
              <w:jc w:val="both"/>
            </w:pPr>
            <w:r w:rsidRPr="007A03C2">
              <w:t>7</w:t>
            </w:r>
          </w:p>
        </w:tc>
        <w:tc>
          <w:tcPr>
            <w:tcW w:w="926" w:type="dxa"/>
            <w:shd w:val="clear" w:color="auto" w:fill="auto"/>
          </w:tcPr>
          <w:p w14:paraId="2FEF9183" w14:textId="77777777" w:rsidR="00197FF0" w:rsidRPr="007A03C2" w:rsidRDefault="00197FF0" w:rsidP="00511CF7">
            <w:pPr>
              <w:jc w:val="both"/>
            </w:pPr>
            <w:r w:rsidRPr="007A03C2">
              <w:t>8</w:t>
            </w:r>
          </w:p>
        </w:tc>
        <w:tc>
          <w:tcPr>
            <w:tcW w:w="1006" w:type="dxa"/>
            <w:shd w:val="clear" w:color="auto" w:fill="auto"/>
          </w:tcPr>
          <w:p w14:paraId="2FEF9184" w14:textId="77777777" w:rsidR="00197FF0" w:rsidRPr="007A03C2" w:rsidRDefault="00197FF0" w:rsidP="00511CF7">
            <w:pPr>
              <w:jc w:val="both"/>
            </w:pPr>
            <w:r w:rsidRPr="007A03C2">
              <w:t>9</w:t>
            </w:r>
          </w:p>
        </w:tc>
        <w:tc>
          <w:tcPr>
            <w:tcW w:w="1064" w:type="dxa"/>
            <w:shd w:val="clear" w:color="auto" w:fill="auto"/>
          </w:tcPr>
          <w:p w14:paraId="2FEF9185" w14:textId="77777777" w:rsidR="00197FF0" w:rsidRPr="007A03C2" w:rsidRDefault="00197FF0" w:rsidP="00511CF7">
            <w:pPr>
              <w:jc w:val="both"/>
            </w:pPr>
            <w:r w:rsidRPr="007A03C2">
              <w:t>10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86" w14:textId="77777777" w:rsidR="00197FF0" w:rsidRPr="007A03C2" w:rsidRDefault="00197FF0" w:rsidP="00511CF7">
            <w:pPr>
              <w:jc w:val="both"/>
            </w:pPr>
            <w:r w:rsidRPr="007A03C2">
              <w:t>11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1F842" w14:textId="77777777" w:rsidR="00197FF0" w:rsidRPr="007A03C2" w:rsidRDefault="00197FF0" w:rsidP="00511CF7">
            <w:pPr>
              <w:jc w:val="both"/>
            </w:pPr>
          </w:p>
        </w:tc>
      </w:tr>
      <w:tr w:rsidR="00197FF0" w:rsidRPr="007A03C2" w14:paraId="2FEF9193" w14:textId="393DC5EE" w:rsidTr="00197FF0">
        <w:tc>
          <w:tcPr>
            <w:tcW w:w="861" w:type="dxa"/>
            <w:shd w:val="clear" w:color="auto" w:fill="auto"/>
          </w:tcPr>
          <w:p w14:paraId="2FEF9188" w14:textId="77777777" w:rsidR="00197FF0" w:rsidRPr="007A03C2" w:rsidRDefault="00197FF0" w:rsidP="00511CF7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FEF9189" w14:textId="77777777" w:rsidR="00197FF0" w:rsidRPr="007A03C2" w:rsidRDefault="00197FF0" w:rsidP="00511CF7">
            <w:pPr>
              <w:jc w:val="both"/>
            </w:pPr>
          </w:p>
        </w:tc>
        <w:tc>
          <w:tcPr>
            <w:tcW w:w="966" w:type="dxa"/>
            <w:shd w:val="clear" w:color="auto" w:fill="auto"/>
          </w:tcPr>
          <w:p w14:paraId="2FEF918A" w14:textId="77777777" w:rsidR="00197FF0" w:rsidRPr="007A03C2" w:rsidRDefault="00197FF0" w:rsidP="00511CF7">
            <w:pPr>
              <w:jc w:val="both"/>
            </w:pPr>
            <w:r w:rsidRPr="007A03C2">
              <w:t>1x50%</w:t>
            </w:r>
          </w:p>
        </w:tc>
        <w:tc>
          <w:tcPr>
            <w:tcW w:w="887" w:type="dxa"/>
            <w:shd w:val="clear" w:color="auto" w:fill="auto"/>
          </w:tcPr>
          <w:p w14:paraId="2FEF918B" w14:textId="77777777" w:rsidR="00197FF0" w:rsidRPr="007A03C2" w:rsidRDefault="00197FF0" w:rsidP="00511CF7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14:paraId="2FEF918C" w14:textId="77777777" w:rsidR="00197FF0" w:rsidRPr="007A03C2" w:rsidRDefault="00197FF0" w:rsidP="00511CF7">
            <w:pPr>
              <w:jc w:val="both"/>
            </w:pPr>
            <w:r w:rsidRPr="007A03C2">
              <w:t>3:4</w:t>
            </w:r>
          </w:p>
        </w:tc>
        <w:tc>
          <w:tcPr>
            <w:tcW w:w="936" w:type="dxa"/>
            <w:shd w:val="clear" w:color="auto" w:fill="auto"/>
          </w:tcPr>
          <w:p w14:paraId="2FEF918D" w14:textId="77777777" w:rsidR="00197FF0" w:rsidRPr="007A03C2" w:rsidRDefault="00197FF0" w:rsidP="00511CF7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14:paraId="2FEF918E" w14:textId="77777777" w:rsidR="00197FF0" w:rsidRPr="007A03C2" w:rsidRDefault="00197FF0" w:rsidP="00511CF7">
            <w:pPr>
              <w:jc w:val="both"/>
            </w:pPr>
          </w:p>
        </w:tc>
        <w:tc>
          <w:tcPr>
            <w:tcW w:w="926" w:type="dxa"/>
            <w:shd w:val="clear" w:color="auto" w:fill="auto"/>
          </w:tcPr>
          <w:p w14:paraId="2FEF918F" w14:textId="77777777" w:rsidR="00197FF0" w:rsidRPr="007A03C2" w:rsidRDefault="00197FF0" w:rsidP="00511CF7">
            <w:pPr>
              <w:jc w:val="both"/>
            </w:pPr>
            <w:r w:rsidRPr="007A03C2">
              <w:t>6x7</w:t>
            </w:r>
          </w:p>
        </w:tc>
        <w:tc>
          <w:tcPr>
            <w:tcW w:w="1006" w:type="dxa"/>
            <w:shd w:val="clear" w:color="auto" w:fill="auto"/>
          </w:tcPr>
          <w:p w14:paraId="2FEF9190" w14:textId="77777777" w:rsidR="00197FF0" w:rsidRPr="007A03C2" w:rsidRDefault="00197FF0" w:rsidP="00511CF7">
            <w:pPr>
              <w:jc w:val="both"/>
            </w:pPr>
            <w:r w:rsidRPr="007A03C2">
              <w:t>5x6</w:t>
            </w:r>
          </w:p>
        </w:tc>
        <w:tc>
          <w:tcPr>
            <w:tcW w:w="1064" w:type="dxa"/>
            <w:shd w:val="clear" w:color="auto" w:fill="auto"/>
          </w:tcPr>
          <w:p w14:paraId="2FEF9191" w14:textId="77777777" w:rsidR="00197FF0" w:rsidRPr="007A03C2" w:rsidRDefault="00197FF0" w:rsidP="00511CF7">
            <w:pPr>
              <w:jc w:val="both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2FEF9192" w14:textId="77777777" w:rsidR="00197FF0" w:rsidRPr="007A03C2" w:rsidRDefault="00197FF0" w:rsidP="00511CF7">
            <w:pPr>
              <w:jc w:val="both"/>
            </w:pPr>
            <w:r w:rsidRPr="007A03C2">
              <w:t>8-9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F2005" w14:textId="3BF97EF1" w:rsidR="00197FF0" w:rsidRPr="007A03C2" w:rsidRDefault="00197FF0" w:rsidP="00511CF7">
            <w:pPr>
              <w:jc w:val="both"/>
            </w:pPr>
            <w:r>
              <w:t>.</w:t>
            </w:r>
          </w:p>
        </w:tc>
      </w:tr>
    </w:tbl>
    <w:p w14:paraId="2FEF9195" w14:textId="77777777" w:rsidR="0050540E" w:rsidRDefault="0050540E" w:rsidP="00197FF0">
      <w:pPr>
        <w:ind w:firstLine="709"/>
        <w:jc w:val="both"/>
      </w:pPr>
      <w:r>
        <w:t>2. Nustatyti, kad šis sprendimas įsigalioja euro įvedimo Lietuvos Respublikoje dieną.</w:t>
      </w:r>
    </w:p>
    <w:p w14:paraId="2FEF9196" w14:textId="2237CA79" w:rsidR="0050540E" w:rsidRDefault="0050540E" w:rsidP="00197FF0">
      <w:pPr>
        <w:ind w:firstLine="709"/>
        <w:jc w:val="both"/>
      </w:pPr>
      <w:r>
        <w:rPr>
          <w:color w:val="000000"/>
        </w:rPr>
        <w:t>3.</w:t>
      </w:r>
      <w:r w:rsidR="001059BA">
        <w:rPr>
          <w:color w:val="000000"/>
        </w:rPr>
        <w:t> </w:t>
      </w:r>
      <w:r>
        <w:t>Skelbti šį sprendimą Teisės aktų registre ir Klaipėdos miesto savivaldybės interneto svetainėje.</w:t>
      </w:r>
    </w:p>
    <w:p w14:paraId="2FEF9197" w14:textId="77777777" w:rsidR="00EB4B96" w:rsidRDefault="00EB4B96" w:rsidP="003077A5">
      <w:pPr>
        <w:jc w:val="both"/>
      </w:pPr>
    </w:p>
    <w:p w14:paraId="2FEF919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FEF919B" w14:textId="77777777" w:rsidTr="00181E3E">
        <w:tc>
          <w:tcPr>
            <w:tcW w:w="7338" w:type="dxa"/>
            <w:shd w:val="clear" w:color="auto" w:fill="auto"/>
          </w:tcPr>
          <w:p w14:paraId="2FEF919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FEF919A" w14:textId="77777777" w:rsidR="00BB15A1" w:rsidRDefault="00BB15A1" w:rsidP="00181E3E">
            <w:pPr>
              <w:jc w:val="right"/>
            </w:pPr>
          </w:p>
        </w:tc>
      </w:tr>
    </w:tbl>
    <w:p w14:paraId="2FEF919C" w14:textId="77777777" w:rsidR="00446AC7" w:rsidRDefault="00446AC7" w:rsidP="003077A5">
      <w:pPr>
        <w:jc w:val="both"/>
      </w:pPr>
    </w:p>
    <w:p w14:paraId="2FEF919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FEF91A0" w14:textId="77777777" w:rsidTr="00181E3E">
        <w:tc>
          <w:tcPr>
            <w:tcW w:w="7338" w:type="dxa"/>
            <w:shd w:val="clear" w:color="auto" w:fill="auto"/>
          </w:tcPr>
          <w:p w14:paraId="2FEF919E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2FEF919F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2FEF91A1" w14:textId="77777777" w:rsidR="00BB15A1" w:rsidRDefault="00BB15A1" w:rsidP="003077A5">
      <w:pPr>
        <w:tabs>
          <w:tab w:val="left" w:pos="7560"/>
        </w:tabs>
        <w:jc w:val="both"/>
      </w:pPr>
    </w:p>
    <w:p w14:paraId="2FEF91A2" w14:textId="77777777" w:rsidR="00446AC7" w:rsidRDefault="00446AC7" w:rsidP="003077A5">
      <w:pPr>
        <w:tabs>
          <w:tab w:val="left" w:pos="7560"/>
        </w:tabs>
        <w:jc w:val="both"/>
      </w:pPr>
    </w:p>
    <w:p w14:paraId="2FEF91A3" w14:textId="77777777" w:rsidR="00446AC7" w:rsidRDefault="00446AC7" w:rsidP="003077A5">
      <w:pPr>
        <w:tabs>
          <w:tab w:val="left" w:pos="7560"/>
        </w:tabs>
        <w:jc w:val="both"/>
      </w:pPr>
    </w:p>
    <w:p w14:paraId="2FEF91A4" w14:textId="77777777" w:rsidR="00446AC7" w:rsidRDefault="00446AC7" w:rsidP="003077A5">
      <w:pPr>
        <w:tabs>
          <w:tab w:val="left" w:pos="7560"/>
        </w:tabs>
        <w:jc w:val="both"/>
      </w:pPr>
    </w:p>
    <w:p w14:paraId="2FEF91A5" w14:textId="77777777" w:rsidR="00446AC7" w:rsidRDefault="00446AC7" w:rsidP="003077A5">
      <w:pPr>
        <w:jc w:val="both"/>
      </w:pPr>
    </w:p>
    <w:p w14:paraId="2FEF91A6" w14:textId="77777777" w:rsidR="00EB4B96" w:rsidRDefault="00EB4B96" w:rsidP="003077A5">
      <w:pPr>
        <w:jc w:val="both"/>
      </w:pPr>
    </w:p>
    <w:p w14:paraId="2FEF91A7" w14:textId="77777777" w:rsidR="00EB4B96" w:rsidRDefault="00EB4B96" w:rsidP="003077A5">
      <w:pPr>
        <w:jc w:val="both"/>
      </w:pPr>
    </w:p>
    <w:p w14:paraId="2FEF91A8" w14:textId="77777777" w:rsidR="00EB4B96" w:rsidRDefault="00EB4B96" w:rsidP="003077A5">
      <w:pPr>
        <w:jc w:val="both"/>
      </w:pPr>
    </w:p>
    <w:p w14:paraId="2FEF91A9" w14:textId="77777777" w:rsidR="00EB4B96" w:rsidRDefault="00EB4B96" w:rsidP="003077A5">
      <w:pPr>
        <w:jc w:val="both"/>
      </w:pPr>
    </w:p>
    <w:p w14:paraId="2FEF91AA" w14:textId="77777777" w:rsidR="00EB4B96" w:rsidRDefault="00EB4B96" w:rsidP="003077A5">
      <w:pPr>
        <w:jc w:val="both"/>
      </w:pPr>
    </w:p>
    <w:p w14:paraId="2FEF91AB" w14:textId="77777777" w:rsidR="00EB4B96" w:rsidRDefault="00EB4B96" w:rsidP="003077A5">
      <w:pPr>
        <w:jc w:val="both"/>
      </w:pPr>
    </w:p>
    <w:p w14:paraId="2FEF91AC" w14:textId="77777777" w:rsidR="00EB4B96" w:rsidRDefault="00EB4B96" w:rsidP="003077A5">
      <w:pPr>
        <w:jc w:val="both"/>
      </w:pPr>
    </w:p>
    <w:p w14:paraId="2FEF91AD" w14:textId="77777777" w:rsidR="00EB4B96" w:rsidRDefault="00EB4B96" w:rsidP="003077A5">
      <w:pPr>
        <w:jc w:val="both"/>
      </w:pPr>
    </w:p>
    <w:p w14:paraId="2FEF91AE" w14:textId="77777777" w:rsidR="00EB4B96" w:rsidRDefault="00EB4B96" w:rsidP="003077A5">
      <w:pPr>
        <w:jc w:val="both"/>
      </w:pPr>
    </w:p>
    <w:p w14:paraId="2FEF91AF" w14:textId="77777777" w:rsidR="00EB4B96" w:rsidRDefault="00EB4B96" w:rsidP="003077A5">
      <w:pPr>
        <w:jc w:val="both"/>
      </w:pPr>
    </w:p>
    <w:p w14:paraId="2FEF91B0" w14:textId="77777777" w:rsidR="00EB4B96" w:rsidRDefault="00EB4B96" w:rsidP="003077A5">
      <w:pPr>
        <w:jc w:val="both"/>
      </w:pPr>
    </w:p>
    <w:p w14:paraId="2FEF91B1" w14:textId="77777777" w:rsidR="00EB4B96" w:rsidRDefault="00EB4B96" w:rsidP="003077A5">
      <w:pPr>
        <w:jc w:val="both"/>
      </w:pPr>
    </w:p>
    <w:p w14:paraId="2FEF91B2" w14:textId="77777777" w:rsidR="00C82B36" w:rsidRDefault="00C82B36" w:rsidP="003077A5">
      <w:pPr>
        <w:jc w:val="both"/>
      </w:pPr>
    </w:p>
    <w:p w14:paraId="2FEF91B3" w14:textId="77777777" w:rsidR="00C82B36" w:rsidRDefault="00C82B36" w:rsidP="003077A5">
      <w:pPr>
        <w:jc w:val="both"/>
      </w:pPr>
    </w:p>
    <w:p w14:paraId="2FEF91B4" w14:textId="77777777" w:rsidR="000E4491" w:rsidRDefault="000E4491" w:rsidP="003077A5">
      <w:pPr>
        <w:jc w:val="both"/>
      </w:pPr>
    </w:p>
    <w:p w14:paraId="2FEF91B5" w14:textId="77777777" w:rsidR="000E4491" w:rsidRDefault="000E4491" w:rsidP="003077A5">
      <w:pPr>
        <w:jc w:val="both"/>
      </w:pPr>
    </w:p>
    <w:p w14:paraId="2FEF91B6" w14:textId="77777777" w:rsidR="008D749C" w:rsidRDefault="008D749C" w:rsidP="003077A5">
      <w:pPr>
        <w:jc w:val="both"/>
      </w:pPr>
    </w:p>
    <w:p w14:paraId="2FEF91B7" w14:textId="77777777" w:rsidR="008D749C" w:rsidRDefault="008D749C" w:rsidP="003077A5">
      <w:pPr>
        <w:jc w:val="both"/>
      </w:pPr>
    </w:p>
    <w:p w14:paraId="515F4AC3" w14:textId="77777777" w:rsidR="001059BA" w:rsidRDefault="001059BA" w:rsidP="003077A5">
      <w:pPr>
        <w:jc w:val="both"/>
      </w:pPr>
    </w:p>
    <w:p w14:paraId="2FEF91B9" w14:textId="77777777" w:rsidR="008D749C" w:rsidRDefault="008D749C" w:rsidP="003077A5">
      <w:pPr>
        <w:jc w:val="both"/>
      </w:pPr>
    </w:p>
    <w:p w14:paraId="4428053E" w14:textId="77777777" w:rsidR="00197FF0" w:rsidRDefault="00197FF0" w:rsidP="003077A5">
      <w:pPr>
        <w:jc w:val="both"/>
      </w:pPr>
    </w:p>
    <w:p w14:paraId="4E5DE387" w14:textId="77777777" w:rsidR="00197FF0" w:rsidRDefault="00197FF0" w:rsidP="003077A5">
      <w:pPr>
        <w:jc w:val="both"/>
      </w:pPr>
    </w:p>
    <w:p w14:paraId="02EEA13E" w14:textId="77777777" w:rsidR="00197FF0" w:rsidRDefault="00197FF0" w:rsidP="003077A5">
      <w:pPr>
        <w:jc w:val="both"/>
      </w:pPr>
    </w:p>
    <w:p w14:paraId="049D99FF" w14:textId="77777777" w:rsidR="00683594" w:rsidRDefault="00683594" w:rsidP="003077A5">
      <w:pPr>
        <w:jc w:val="both"/>
      </w:pPr>
    </w:p>
    <w:p w14:paraId="2FEF91BA" w14:textId="77777777" w:rsidR="008D749C" w:rsidRDefault="008D749C" w:rsidP="003077A5">
      <w:pPr>
        <w:jc w:val="both"/>
      </w:pPr>
    </w:p>
    <w:p w14:paraId="2FEF91BB" w14:textId="77777777" w:rsidR="008D749C" w:rsidRDefault="008D749C" w:rsidP="003077A5">
      <w:pPr>
        <w:jc w:val="both"/>
      </w:pPr>
    </w:p>
    <w:p w14:paraId="2FEF91BC" w14:textId="77777777" w:rsidR="008D749C" w:rsidRDefault="008D749C" w:rsidP="003077A5">
      <w:pPr>
        <w:jc w:val="both"/>
      </w:pPr>
    </w:p>
    <w:p w14:paraId="2FEF91BD" w14:textId="77777777" w:rsidR="00960B24" w:rsidRDefault="00960B24" w:rsidP="003077A5">
      <w:pPr>
        <w:jc w:val="both"/>
      </w:pPr>
    </w:p>
    <w:p w14:paraId="2FEF91BE" w14:textId="77777777" w:rsidR="00142D15" w:rsidRDefault="00E31A4B" w:rsidP="003077A5">
      <w:pPr>
        <w:jc w:val="both"/>
      </w:pPr>
      <w:r>
        <w:t>Sonata Jakienė, tel. 39 07 91</w:t>
      </w:r>
    </w:p>
    <w:p w14:paraId="2FEF91BF" w14:textId="77777777" w:rsidR="00142D15" w:rsidRDefault="00E31A4B" w:rsidP="000E4491">
      <w:pPr>
        <w:jc w:val="both"/>
      </w:pPr>
      <w:r>
        <w:t>2014</w:t>
      </w:r>
      <w:r w:rsidR="000E4491">
        <w:t>-</w:t>
      </w:r>
      <w:r>
        <w:t>08-18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BC24E" w14:textId="77777777" w:rsidR="00902AAF" w:rsidRDefault="00902AAF">
      <w:r>
        <w:separator/>
      </w:r>
    </w:p>
  </w:endnote>
  <w:endnote w:type="continuationSeparator" w:id="0">
    <w:p w14:paraId="5E36C5D4" w14:textId="77777777" w:rsidR="00902AAF" w:rsidRDefault="0090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845A0" w14:textId="77777777" w:rsidR="00902AAF" w:rsidRDefault="00902AAF">
      <w:r>
        <w:separator/>
      </w:r>
    </w:p>
  </w:footnote>
  <w:footnote w:type="continuationSeparator" w:id="0">
    <w:p w14:paraId="256705A7" w14:textId="77777777" w:rsidR="00902AAF" w:rsidRDefault="0090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F91C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EF91C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F91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037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EF91C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F91C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EF91C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3891199"/>
    <w:multiLevelType w:val="hybridMultilevel"/>
    <w:tmpl w:val="36944CF4"/>
    <w:lvl w:ilvl="0" w:tplc="A350DE6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BDA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31E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F48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9BA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FF0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0441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5B"/>
    <w:rsid w:val="00227F61"/>
    <w:rsid w:val="0023085D"/>
    <w:rsid w:val="00230D2B"/>
    <w:rsid w:val="0023111A"/>
    <w:rsid w:val="002336D8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1F5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7A5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685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263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C2E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80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008"/>
    <w:rsid w:val="004F7462"/>
    <w:rsid w:val="005018F3"/>
    <w:rsid w:val="00504443"/>
    <w:rsid w:val="00504B9D"/>
    <w:rsid w:val="0050540E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B32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B9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594"/>
    <w:rsid w:val="00683ACA"/>
    <w:rsid w:val="006840C2"/>
    <w:rsid w:val="0068433F"/>
    <w:rsid w:val="00684A0F"/>
    <w:rsid w:val="00686CCC"/>
    <w:rsid w:val="00686F1C"/>
    <w:rsid w:val="00687637"/>
    <w:rsid w:val="006877EE"/>
    <w:rsid w:val="00690EF2"/>
    <w:rsid w:val="006911EE"/>
    <w:rsid w:val="00691BE0"/>
    <w:rsid w:val="00693850"/>
    <w:rsid w:val="00693D62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5B4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A18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AAF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37E"/>
    <w:rsid w:val="00A91176"/>
    <w:rsid w:val="00A91DF9"/>
    <w:rsid w:val="00A91E23"/>
    <w:rsid w:val="00A91F81"/>
    <w:rsid w:val="00A935D6"/>
    <w:rsid w:val="00A9473A"/>
    <w:rsid w:val="00A94A2B"/>
    <w:rsid w:val="00A95057"/>
    <w:rsid w:val="00A95FBC"/>
    <w:rsid w:val="00A9787B"/>
    <w:rsid w:val="00A97FEF"/>
    <w:rsid w:val="00AA0869"/>
    <w:rsid w:val="00AA1C53"/>
    <w:rsid w:val="00AA1E2C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58F"/>
    <w:rsid w:val="00BE1769"/>
    <w:rsid w:val="00BE2527"/>
    <w:rsid w:val="00BE26B2"/>
    <w:rsid w:val="00BE3555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2B5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F5E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36E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367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A4B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0A6"/>
    <w:rsid w:val="00ED564C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43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F9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2014-09-10T07:57:00Z</dcterms:created>
  <dcterms:modified xsi:type="dcterms:W3CDTF">2014-09-10T07:57:00Z</dcterms:modified>
</cp:coreProperties>
</file>