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B4" w:rsidRPr="00AC178E" w:rsidRDefault="002F02B4" w:rsidP="00857669">
      <w:pPr>
        <w:pStyle w:val="Heading3"/>
        <w:jc w:val="center"/>
        <w:rPr>
          <w:rFonts w:ascii="Times New Roman" w:hAnsi="Times New Roman"/>
          <w:sz w:val="24"/>
          <w:szCs w:val="24"/>
        </w:rPr>
      </w:pPr>
      <w:r w:rsidRPr="00AC178E">
        <w:rPr>
          <w:rFonts w:ascii="Times New Roman" w:hAnsi="Times New Roman"/>
          <w:sz w:val="24"/>
          <w:szCs w:val="24"/>
        </w:rPr>
        <w:t>AIŠKINAMASIS RAŠTAS</w:t>
      </w:r>
    </w:p>
    <w:p w:rsidR="002F02B4" w:rsidRPr="00AC178E" w:rsidRDefault="002F02B4" w:rsidP="00857669">
      <w:pPr>
        <w:jc w:val="center"/>
        <w:rPr>
          <w:b/>
          <w:sz w:val="24"/>
          <w:szCs w:val="24"/>
        </w:rPr>
      </w:pPr>
      <w:r w:rsidRPr="00AC178E">
        <w:rPr>
          <w:b/>
          <w:sz w:val="24"/>
          <w:szCs w:val="24"/>
        </w:rPr>
        <w:t>DĖL SUTIKIMO STEIGTI LOŠIMO NAMUS (KAZINO)</w:t>
      </w:r>
    </w:p>
    <w:p w:rsidR="002F02B4" w:rsidRPr="00AC178E" w:rsidRDefault="002F02B4" w:rsidP="00857669">
      <w:pPr>
        <w:jc w:val="center"/>
        <w:rPr>
          <w:sz w:val="24"/>
          <w:szCs w:val="24"/>
        </w:rPr>
      </w:pPr>
    </w:p>
    <w:p w:rsidR="002F02B4" w:rsidRPr="00AC178E" w:rsidRDefault="002F02B4" w:rsidP="00857669">
      <w:pPr>
        <w:jc w:val="center"/>
        <w:rPr>
          <w:sz w:val="24"/>
          <w:szCs w:val="24"/>
        </w:rPr>
      </w:pPr>
    </w:p>
    <w:p w:rsidR="002F02B4" w:rsidRPr="00AC178E" w:rsidRDefault="002F02B4" w:rsidP="00857669">
      <w:pPr>
        <w:pStyle w:val="BodyText"/>
        <w:tabs>
          <w:tab w:val="left" w:pos="4335"/>
        </w:tabs>
        <w:ind w:firstLine="709"/>
        <w:rPr>
          <w:b/>
          <w:szCs w:val="24"/>
        </w:rPr>
      </w:pPr>
      <w:r w:rsidRPr="00AC178E">
        <w:rPr>
          <w:b/>
          <w:szCs w:val="24"/>
        </w:rPr>
        <w:t>1. Sprendimo projekto esmė.</w:t>
      </w:r>
      <w:r w:rsidRPr="00AC178E">
        <w:rPr>
          <w:b/>
          <w:szCs w:val="24"/>
        </w:rPr>
        <w:tab/>
      </w:r>
    </w:p>
    <w:p w:rsidR="002F02B4" w:rsidRPr="00AC178E" w:rsidRDefault="002F02B4" w:rsidP="00857669">
      <w:pPr>
        <w:pStyle w:val="Header"/>
        <w:tabs>
          <w:tab w:val="clear" w:pos="4320"/>
          <w:tab w:val="clear" w:pos="8640"/>
        </w:tabs>
        <w:ind w:firstLine="709"/>
        <w:jc w:val="both"/>
        <w:rPr>
          <w:szCs w:val="24"/>
        </w:rPr>
      </w:pPr>
      <w:r>
        <w:rPr>
          <w:szCs w:val="24"/>
        </w:rPr>
        <w:t xml:space="preserve">Įvertinus patalpų </w:t>
      </w:r>
      <w:r w:rsidRPr="00AC178E">
        <w:rPr>
          <w:szCs w:val="24"/>
        </w:rPr>
        <w:t>ir įmonės ekonominių bei kitų rodiklių atitikimą nus</w:t>
      </w:r>
      <w:r>
        <w:rPr>
          <w:szCs w:val="24"/>
        </w:rPr>
        <w:t>tatytiems reikalavimams, priimti</w:t>
      </w:r>
      <w:r w:rsidRPr="00AC178E">
        <w:rPr>
          <w:szCs w:val="24"/>
        </w:rPr>
        <w:t xml:space="preserve"> sprendimą dėl sutikimo steigti lošimo namus (ka</w:t>
      </w:r>
      <w:r>
        <w:rPr>
          <w:szCs w:val="24"/>
        </w:rPr>
        <w:t>zino)  Klaipėdoje, Naujojo Sodo g. 1A</w:t>
      </w:r>
      <w:r w:rsidRPr="00AC178E">
        <w:rPr>
          <w:szCs w:val="24"/>
        </w:rPr>
        <w:t>. Lošimo na</w:t>
      </w:r>
      <w:r>
        <w:rPr>
          <w:szCs w:val="24"/>
        </w:rPr>
        <w:t>mus pageidauja steigti UAB „Olympic Casino Group Baltija</w:t>
      </w:r>
      <w:r w:rsidRPr="00AC178E">
        <w:rPr>
          <w:szCs w:val="24"/>
        </w:rPr>
        <w:t>“, kuri šiuo klausimu ir kreipėsi į savivaldybės tarybą.</w:t>
      </w:r>
    </w:p>
    <w:p w:rsidR="002F02B4" w:rsidRPr="00AC178E" w:rsidRDefault="002F02B4" w:rsidP="00857669">
      <w:pPr>
        <w:pStyle w:val="BodyText"/>
        <w:ind w:firstLine="709"/>
        <w:rPr>
          <w:b/>
          <w:szCs w:val="24"/>
        </w:rPr>
      </w:pPr>
      <w:r w:rsidRPr="00AC178E">
        <w:rPr>
          <w:b/>
          <w:szCs w:val="24"/>
        </w:rPr>
        <w:t>2. Priežastys ir kuo remiantis parengtas sprendimo projektas.</w:t>
      </w:r>
    </w:p>
    <w:p w:rsidR="002F02B4" w:rsidRDefault="002F02B4" w:rsidP="00857669">
      <w:pPr>
        <w:ind w:firstLine="709"/>
        <w:jc w:val="both"/>
        <w:rPr>
          <w:sz w:val="24"/>
          <w:szCs w:val="24"/>
        </w:rPr>
      </w:pPr>
      <w:smartTag w:uri="urn:schemas-microsoft-com:office:smarttags" w:element="metricconverter">
        <w:smartTagPr>
          <w:attr w:name="ProductID" w:val="2012 m"/>
        </w:smartTagPr>
        <w:r>
          <w:rPr>
            <w:sz w:val="24"/>
            <w:szCs w:val="24"/>
          </w:rPr>
          <w:t xml:space="preserve">2012 </w:t>
        </w:r>
        <w:r w:rsidRPr="00AC178E">
          <w:rPr>
            <w:sz w:val="24"/>
            <w:szCs w:val="24"/>
          </w:rPr>
          <w:t>m</w:t>
        </w:r>
      </w:smartTag>
      <w:r>
        <w:rPr>
          <w:sz w:val="24"/>
          <w:szCs w:val="24"/>
        </w:rPr>
        <w:t xml:space="preserve">. birželio 25 d. UAB </w:t>
      </w:r>
      <w:r w:rsidRPr="00D26F3E">
        <w:rPr>
          <w:sz w:val="24"/>
          <w:szCs w:val="24"/>
        </w:rPr>
        <w:t>„Olympic Casino Group Baltija</w:t>
      </w:r>
      <w:r>
        <w:rPr>
          <w:sz w:val="24"/>
          <w:szCs w:val="24"/>
        </w:rPr>
        <w:t>“, registruota</w:t>
      </w:r>
      <w:r w:rsidRPr="00AC178E">
        <w:rPr>
          <w:sz w:val="24"/>
          <w:szCs w:val="24"/>
        </w:rPr>
        <w:t xml:space="preserve"> </w:t>
      </w:r>
      <w:r>
        <w:rPr>
          <w:sz w:val="24"/>
          <w:szCs w:val="24"/>
        </w:rPr>
        <w:t>adresu Konstitucijos pr. 12, Vilniuje</w:t>
      </w:r>
      <w:r w:rsidRPr="00AC178E">
        <w:rPr>
          <w:sz w:val="24"/>
          <w:szCs w:val="24"/>
        </w:rPr>
        <w:t>, pateikė prašymą Klaipėdos miesto savivaldybės tarybai dėl sutikimo st</w:t>
      </w:r>
      <w:r>
        <w:rPr>
          <w:sz w:val="24"/>
          <w:szCs w:val="24"/>
        </w:rPr>
        <w:t xml:space="preserve">eigti lošimo namus (kazino) </w:t>
      </w:r>
      <w:smartTag w:uri="urn:schemas-microsoft-com:office:smarttags" w:element="metricconverter">
        <w:smartTagPr>
          <w:attr w:name="ProductID" w:val="923,66 m2"/>
        </w:smartTagPr>
        <w:r>
          <w:rPr>
            <w:sz w:val="24"/>
            <w:szCs w:val="24"/>
          </w:rPr>
          <w:t>923,66</w:t>
        </w:r>
        <w:r w:rsidRPr="00AC178E">
          <w:rPr>
            <w:sz w:val="24"/>
            <w:szCs w:val="24"/>
          </w:rPr>
          <w:t xml:space="preserve"> m</w:t>
        </w:r>
        <w:r w:rsidRPr="00AC178E">
          <w:rPr>
            <w:sz w:val="24"/>
            <w:szCs w:val="24"/>
            <w:vertAlign w:val="superscript"/>
          </w:rPr>
          <w:t>2</w:t>
        </w:r>
      </w:smartTag>
      <w:r>
        <w:rPr>
          <w:sz w:val="24"/>
          <w:szCs w:val="24"/>
        </w:rPr>
        <w:t xml:space="preserve"> ploto patalpose Naujojo Sodo g. 1A</w:t>
      </w:r>
      <w:r w:rsidRPr="00AC178E">
        <w:rPr>
          <w:sz w:val="24"/>
          <w:szCs w:val="24"/>
        </w:rPr>
        <w:t>, Klaipėdoje išdavimo.</w:t>
      </w:r>
    </w:p>
    <w:p w:rsidR="002F02B4" w:rsidRPr="00AC178E" w:rsidRDefault="002F02B4" w:rsidP="00857669">
      <w:pPr>
        <w:ind w:firstLine="709"/>
        <w:jc w:val="both"/>
        <w:rPr>
          <w:sz w:val="24"/>
          <w:szCs w:val="24"/>
        </w:rPr>
      </w:pPr>
      <w:r>
        <w:rPr>
          <w:sz w:val="24"/>
          <w:szCs w:val="24"/>
        </w:rPr>
        <w:t xml:space="preserve">Kadangi pateikti dokumentai neatitiko reikalavimų, buvo paprašyta patikslinti duomenis. </w:t>
      </w:r>
      <w:smartTag w:uri="urn:schemas-microsoft-com:office:smarttags" w:element="metricconverter">
        <w:smartTagPr>
          <w:attr w:name="ProductID" w:val="2012 m"/>
        </w:smartTagPr>
        <w:r>
          <w:rPr>
            <w:sz w:val="24"/>
            <w:szCs w:val="24"/>
          </w:rPr>
          <w:t>2012 m</w:t>
        </w:r>
      </w:smartTag>
      <w:r>
        <w:rPr>
          <w:sz w:val="24"/>
          <w:szCs w:val="24"/>
        </w:rPr>
        <w:t xml:space="preserve">. liepos 26 d. bendrovė  prašymą patikslino. Bendrovė </w:t>
      </w:r>
      <w:smartTag w:uri="urn:schemas-microsoft-com:office:smarttags" w:element="metricconverter">
        <w:smartTagPr>
          <w:attr w:name="ProductID" w:val="2009 m"/>
        </w:smartTagPr>
        <w:r>
          <w:rPr>
            <w:sz w:val="24"/>
            <w:szCs w:val="24"/>
          </w:rPr>
          <w:t>2009 m</w:t>
        </w:r>
      </w:smartTag>
      <w:r>
        <w:rPr>
          <w:sz w:val="24"/>
          <w:szCs w:val="24"/>
        </w:rPr>
        <w:t>. rugsėjo mėn. uždarė lošimo namus (kazino) adresu Naujojo Sodo g. 1 ir veiklą nori atnaujinti šalia esančiame pastate adresu Naujojo Sodo g. 1A.</w:t>
      </w:r>
    </w:p>
    <w:p w:rsidR="002F02B4" w:rsidRPr="00AC178E" w:rsidRDefault="002F02B4" w:rsidP="00857669">
      <w:pPr>
        <w:ind w:firstLine="709"/>
        <w:jc w:val="both"/>
        <w:rPr>
          <w:sz w:val="24"/>
          <w:szCs w:val="24"/>
        </w:rPr>
      </w:pPr>
      <w:r w:rsidRPr="00AC178E">
        <w:rPr>
          <w:sz w:val="24"/>
          <w:szCs w:val="24"/>
        </w:rPr>
        <w:t>Leidimus atidaryti lošimo namus (kazino) išduoda Valstybinė lošimų priežiūros komisija. Vienas iš privalomų pateikti dokumentų leidimui gauti yra savivaldybės tarybos sutikimas. Sutikimų steigti lošimo namus (kazino) išdavimo tvarka yra patvirtinta Klaipėdos miesto savivaldybės tarybos 2005-01-20 sprendimu Nr.</w:t>
      </w:r>
      <w:r>
        <w:rPr>
          <w:sz w:val="24"/>
          <w:szCs w:val="24"/>
        </w:rPr>
        <w:t xml:space="preserve"> </w:t>
      </w:r>
      <w:r w:rsidRPr="00AC178E">
        <w:rPr>
          <w:sz w:val="24"/>
          <w:szCs w:val="24"/>
        </w:rPr>
        <w:t>1-07. Pagal ši</w:t>
      </w:r>
      <w:r>
        <w:rPr>
          <w:sz w:val="24"/>
          <w:szCs w:val="24"/>
        </w:rPr>
        <w:t xml:space="preserve">os tvarkos reikalavimus UAB </w:t>
      </w:r>
      <w:r w:rsidRPr="00D26F3E">
        <w:rPr>
          <w:sz w:val="24"/>
          <w:szCs w:val="24"/>
        </w:rPr>
        <w:t>„Olympic Casino Group Baltija</w:t>
      </w:r>
      <w:r>
        <w:rPr>
          <w:sz w:val="24"/>
          <w:szCs w:val="24"/>
        </w:rPr>
        <w:t xml:space="preserve">“ </w:t>
      </w:r>
      <w:r w:rsidRPr="00AC178E">
        <w:rPr>
          <w:sz w:val="24"/>
          <w:szCs w:val="24"/>
        </w:rPr>
        <w:t xml:space="preserve"> pateikė visus reikiamus dokumentus, turi suformavusi Lietuvos Respublikos azartinių lošimų įstatymu nustatytą įstatinį kapitalą, įsiskolinimų Valstybinio socialinio draudimo fondo biudžetui, valstybės, savivaldybės biudžetams ir fondams, kuriuos administruoja valstybinė mokesčių inspekcija, neturi, patalpos neįeina į patalpų, kuriose draudžiama steigti lošimo namus, kategoriją.                 </w:t>
      </w:r>
    </w:p>
    <w:p w:rsidR="002F02B4" w:rsidRPr="00AC178E" w:rsidRDefault="002F02B4" w:rsidP="00857669">
      <w:pPr>
        <w:pStyle w:val="BodyText"/>
        <w:ind w:firstLine="709"/>
        <w:rPr>
          <w:b/>
          <w:szCs w:val="24"/>
        </w:rPr>
      </w:pPr>
      <w:r w:rsidRPr="00AC178E">
        <w:rPr>
          <w:b/>
          <w:szCs w:val="24"/>
        </w:rPr>
        <w:t>3. Tikslai ir uždaviniai.</w:t>
      </w:r>
    </w:p>
    <w:p w:rsidR="002F02B4" w:rsidRPr="00AC178E" w:rsidRDefault="002F02B4" w:rsidP="00857669">
      <w:pPr>
        <w:pStyle w:val="BodyText"/>
        <w:ind w:firstLine="709"/>
        <w:rPr>
          <w:szCs w:val="24"/>
        </w:rPr>
      </w:pPr>
      <w:r w:rsidRPr="00AC178E">
        <w:rPr>
          <w:szCs w:val="24"/>
        </w:rPr>
        <w:t>Teikiamo projekto tikslas – išnagrinėti pateiktą prašymą ir priimti atitinkamą  sprendimą.</w:t>
      </w:r>
    </w:p>
    <w:p w:rsidR="002F02B4" w:rsidRPr="00AC178E" w:rsidRDefault="002F02B4" w:rsidP="00857669">
      <w:pPr>
        <w:ind w:firstLine="709"/>
        <w:jc w:val="both"/>
        <w:rPr>
          <w:sz w:val="24"/>
          <w:szCs w:val="24"/>
        </w:rPr>
      </w:pPr>
      <w:r w:rsidRPr="00AC178E">
        <w:rPr>
          <w:b/>
          <w:bCs/>
          <w:sz w:val="24"/>
          <w:szCs w:val="24"/>
        </w:rPr>
        <w:t>4. Kokių rezultatų laukiama.</w:t>
      </w:r>
    </w:p>
    <w:p w:rsidR="002F02B4" w:rsidRPr="00AC178E" w:rsidRDefault="002F02B4" w:rsidP="00857669">
      <w:pPr>
        <w:pStyle w:val="BodyText"/>
        <w:ind w:firstLine="709"/>
        <w:jc w:val="both"/>
        <w:rPr>
          <w:szCs w:val="24"/>
        </w:rPr>
      </w:pPr>
      <w:r w:rsidRPr="00AC178E">
        <w:rPr>
          <w:szCs w:val="24"/>
        </w:rPr>
        <w:t>Savivaldyb</w:t>
      </w:r>
      <w:r>
        <w:rPr>
          <w:szCs w:val="24"/>
        </w:rPr>
        <w:t xml:space="preserve">ės tarybai patenkinus prašymą, </w:t>
      </w:r>
      <w:r w:rsidRPr="00AC178E">
        <w:rPr>
          <w:szCs w:val="24"/>
        </w:rPr>
        <w:t>įmonė galės kreiptis į Valstybinę lošimų priežiūros komisiją dėl leidimo išdavimo, bus sukurtos naujos darbo vietos mieste, mo</w:t>
      </w:r>
      <w:r>
        <w:rPr>
          <w:szCs w:val="24"/>
        </w:rPr>
        <w:t>kami mokesčiai į savivaldybės,</w:t>
      </w:r>
      <w:r w:rsidRPr="00AC178E">
        <w:rPr>
          <w:szCs w:val="24"/>
        </w:rPr>
        <w:t xml:space="preserve"> valstybės</w:t>
      </w:r>
      <w:r>
        <w:rPr>
          <w:szCs w:val="24"/>
        </w:rPr>
        <w:t xml:space="preserve"> ir SODROS biudžetus</w:t>
      </w:r>
      <w:r w:rsidRPr="00AC178E">
        <w:rPr>
          <w:szCs w:val="24"/>
        </w:rPr>
        <w:t xml:space="preserve">. </w:t>
      </w:r>
    </w:p>
    <w:p w:rsidR="002F02B4" w:rsidRPr="00AC178E" w:rsidRDefault="002F02B4" w:rsidP="00857669">
      <w:pPr>
        <w:pStyle w:val="BodyText"/>
        <w:ind w:firstLine="709"/>
        <w:rPr>
          <w:b/>
          <w:szCs w:val="24"/>
        </w:rPr>
      </w:pPr>
      <w:r w:rsidRPr="00AC178E">
        <w:rPr>
          <w:b/>
          <w:szCs w:val="24"/>
        </w:rPr>
        <w:t>5. Kas inicijavo sprendimo projekto rengimą.</w:t>
      </w:r>
    </w:p>
    <w:p w:rsidR="002F02B4" w:rsidRPr="00AC178E" w:rsidRDefault="002F02B4" w:rsidP="00857669">
      <w:pPr>
        <w:ind w:firstLine="709"/>
        <w:jc w:val="both"/>
        <w:rPr>
          <w:color w:val="000000"/>
          <w:sz w:val="24"/>
          <w:szCs w:val="24"/>
        </w:rPr>
      </w:pPr>
      <w:r w:rsidRPr="00AC178E">
        <w:rPr>
          <w:color w:val="000000"/>
          <w:sz w:val="24"/>
          <w:szCs w:val="24"/>
        </w:rPr>
        <w:t xml:space="preserve">Sprendimo projektą, atsižvelgiant </w:t>
      </w:r>
      <w:r>
        <w:rPr>
          <w:sz w:val="24"/>
          <w:szCs w:val="24"/>
        </w:rPr>
        <w:t xml:space="preserve">UAB </w:t>
      </w:r>
      <w:r w:rsidRPr="00D26F3E">
        <w:rPr>
          <w:sz w:val="24"/>
          <w:szCs w:val="24"/>
        </w:rPr>
        <w:t>„Olympic Casino Group Baltija</w:t>
      </w:r>
      <w:r>
        <w:rPr>
          <w:sz w:val="24"/>
          <w:szCs w:val="24"/>
        </w:rPr>
        <w:t xml:space="preserve">“  </w:t>
      </w:r>
      <w:r w:rsidRPr="00AC178E">
        <w:rPr>
          <w:sz w:val="24"/>
          <w:szCs w:val="24"/>
        </w:rPr>
        <w:t xml:space="preserve">prašymą, parengė Licencijų, leidimų ir vartotojų teisių apsaugos skyrius. </w:t>
      </w:r>
    </w:p>
    <w:p w:rsidR="002F02B4" w:rsidRPr="00AC178E" w:rsidRDefault="002F02B4" w:rsidP="00857669">
      <w:pPr>
        <w:ind w:firstLine="709"/>
        <w:jc w:val="both"/>
        <w:rPr>
          <w:sz w:val="24"/>
          <w:szCs w:val="24"/>
          <w:lang w:val="pt-BR"/>
        </w:rPr>
      </w:pPr>
      <w:r w:rsidRPr="00AC178E">
        <w:rPr>
          <w:b/>
          <w:bCs/>
          <w:sz w:val="24"/>
          <w:szCs w:val="24"/>
        </w:rPr>
        <w:t>6. Sprendimo projekto rengimo metu gauti specialistų vertinimai.</w:t>
      </w:r>
    </w:p>
    <w:p w:rsidR="002F02B4" w:rsidRPr="00AC178E" w:rsidRDefault="002F02B4" w:rsidP="00857669">
      <w:pPr>
        <w:ind w:firstLine="709"/>
        <w:jc w:val="both"/>
        <w:rPr>
          <w:sz w:val="24"/>
          <w:szCs w:val="24"/>
          <w:lang w:val="pt-BR"/>
        </w:rPr>
      </w:pPr>
      <w:r w:rsidRPr="00AC178E">
        <w:rPr>
          <w:sz w:val="24"/>
          <w:szCs w:val="24"/>
        </w:rPr>
        <w:t xml:space="preserve">Neigiamų specialistų vertinimų negauta. </w:t>
      </w:r>
    </w:p>
    <w:p w:rsidR="002F02B4" w:rsidRPr="00AC178E" w:rsidRDefault="002F02B4" w:rsidP="00857669">
      <w:pPr>
        <w:ind w:firstLine="709"/>
        <w:jc w:val="both"/>
        <w:rPr>
          <w:sz w:val="24"/>
          <w:szCs w:val="24"/>
          <w:lang w:val="pt-BR"/>
        </w:rPr>
      </w:pPr>
      <w:r w:rsidRPr="00AC178E">
        <w:rPr>
          <w:b/>
          <w:bCs/>
          <w:sz w:val="24"/>
          <w:szCs w:val="24"/>
        </w:rPr>
        <w:t>7. Galimos teigiamos ar neigiamos sprendimo priėmimo pasekmės.</w:t>
      </w:r>
    </w:p>
    <w:p w:rsidR="002F02B4" w:rsidRPr="00AC178E" w:rsidRDefault="002F02B4" w:rsidP="00857669">
      <w:pPr>
        <w:ind w:firstLine="709"/>
        <w:jc w:val="both"/>
        <w:rPr>
          <w:sz w:val="24"/>
          <w:szCs w:val="24"/>
        </w:rPr>
      </w:pPr>
      <w:r w:rsidRPr="00AC178E">
        <w:rPr>
          <w:sz w:val="24"/>
          <w:szCs w:val="24"/>
        </w:rPr>
        <w:t>Teigiamos pasekmės – naujos darbo vietos, didesnės biudžeto</w:t>
      </w:r>
      <w:r>
        <w:rPr>
          <w:sz w:val="24"/>
          <w:szCs w:val="24"/>
        </w:rPr>
        <w:t xml:space="preserve"> ir SODROS pajamos, naujos patalpos yra pastatų komplekso gilumoje, todėl bus mažiau pastebimos. Neigiamos pasekmės – nors veikla yra legali ir nedraudžiama, tačiau azartiškiems žaidėjams gali atsirasti priklausomybė nuo lošimų, dėl ko gali nukentėti lošėjų </w:t>
      </w:r>
      <w:bookmarkStart w:id="0" w:name="_GoBack"/>
      <w:bookmarkEnd w:id="0"/>
      <w:r>
        <w:rPr>
          <w:sz w:val="24"/>
          <w:szCs w:val="24"/>
        </w:rPr>
        <w:t>šeimų biudžetas.</w:t>
      </w:r>
    </w:p>
    <w:p w:rsidR="002F02B4" w:rsidRPr="00AC178E" w:rsidRDefault="002F02B4" w:rsidP="00857669">
      <w:pPr>
        <w:ind w:firstLine="709"/>
        <w:jc w:val="both"/>
        <w:rPr>
          <w:sz w:val="24"/>
          <w:szCs w:val="24"/>
        </w:rPr>
      </w:pPr>
      <w:r w:rsidRPr="00AC178E">
        <w:rPr>
          <w:b/>
          <w:bCs/>
          <w:sz w:val="24"/>
          <w:szCs w:val="24"/>
        </w:rPr>
        <w:t>8. Lėšų poreikis sprendimo įgyvendinimui.</w:t>
      </w:r>
    </w:p>
    <w:p w:rsidR="002F02B4" w:rsidRPr="00AC178E" w:rsidRDefault="002F02B4" w:rsidP="00857669">
      <w:pPr>
        <w:ind w:firstLine="709"/>
        <w:jc w:val="both"/>
        <w:rPr>
          <w:sz w:val="24"/>
          <w:szCs w:val="24"/>
        </w:rPr>
      </w:pPr>
      <w:r w:rsidRPr="00AC178E">
        <w:rPr>
          <w:sz w:val="24"/>
          <w:szCs w:val="24"/>
        </w:rPr>
        <w:t xml:space="preserve">Sprendimui įgyvendinti Savivaldybės biudžeto lėšų nereikia. </w:t>
      </w:r>
    </w:p>
    <w:p w:rsidR="002F02B4" w:rsidRPr="00AC178E" w:rsidRDefault="002F02B4" w:rsidP="00857669">
      <w:pPr>
        <w:pStyle w:val="Header"/>
        <w:tabs>
          <w:tab w:val="clear" w:pos="4320"/>
          <w:tab w:val="clear" w:pos="8640"/>
        </w:tabs>
        <w:rPr>
          <w:szCs w:val="24"/>
        </w:rPr>
      </w:pPr>
    </w:p>
    <w:p w:rsidR="002F02B4" w:rsidRPr="00AC178E" w:rsidRDefault="002F02B4" w:rsidP="00857669">
      <w:pPr>
        <w:pStyle w:val="Header"/>
        <w:tabs>
          <w:tab w:val="clear" w:pos="4320"/>
          <w:tab w:val="clear" w:pos="8640"/>
        </w:tabs>
        <w:rPr>
          <w:szCs w:val="24"/>
        </w:rPr>
      </w:pPr>
    </w:p>
    <w:p w:rsidR="002F02B4" w:rsidRPr="00AC178E" w:rsidRDefault="002F02B4" w:rsidP="00857669">
      <w:pPr>
        <w:pStyle w:val="Header"/>
        <w:tabs>
          <w:tab w:val="clear" w:pos="4320"/>
          <w:tab w:val="clear" w:pos="8640"/>
        </w:tabs>
        <w:spacing w:line="360" w:lineRule="auto"/>
        <w:rPr>
          <w:szCs w:val="24"/>
        </w:rPr>
      </w:pPr>
      <w:r w:rsidRPr="00AC178E">
        <w:rPr>
          <w:szCs w:val="24"/>
        </w:rPr>
        <w:t>Licencijų, leidimų ir vartotojų</w:t>
      </w:r>
      <w:r>
        <w:rPr>
          <w:szCs w:val="24"/>
        </w:rPr>
        <w:t xml:space="preserve"> teisių apsaugos skyriaus vyr. specialistas</w:t>
      </w:r>
      <w:r w:rsidRPr="00AC178E">
        <w:rPr>
          <w:szCs w:val="24"/>
        </w:rPr>
        <w:t xml:space="preserve">           </w:t>
      </w:r>
      <w:r>
        <w:rPr>
          <w:szCs w:val="24"/>
        </w:rPr>
        <w:t xml:space="preserve">    </w:t>
      </w:r>
      <w:smartTag w:uri="urn:schemas-microsoft-com:office:smarttags" w:element="PersonName">
        <w:r>
          <w:rPr>
            <w:szCs w:val="24"/>
          </w:rPr>
          <w:t>Rimantas Armonas</w:t>
        </w:r>
      </w:smartTag>
      <w:r w:rsidRPr="00AC178E">
        <w:rPr>
          <w:szCs w:val="24"/>
        </w:rPr>
        <w:t xml:space="preserve">           </w:t>
      </w:r>
      <w:r>
        <w:rPr>
          <w:szCs w:val="24"/>
        </w:rPr>
        <w:t xml:space="preserve">                    </w:t>
      </w:r>
      <w:r w:rsidRPr="00AC178E">
        <w:rPr>
          <w:szCs w:val="24"/>
        </w:rPr>
        <w:tab/>
      </w:r>
      <w:r w:rsidRPr="00AC178E">
        <w:rPr>
          <w:szCs w:val="24"/>
        </w:rPr>
        <w:tab/>
      </w:r>
      <w:r w:rsidRPr="00AC178E">
        <w:rPr>
          <w:szCs w:val="24"/>
        </w:rPr>
        <w:tab/>
      </w:r>
      <w:r w:rsidRPr="00AC178E">
        <w:rPr>
          <w:szCs w:val="24"/>
        </w:rPr>
        <w:tab/>
      </w:r>
      <w:r w:rsidRPr="00AC178E">
        <w:rPr>
          <w:szCs w:val="24"/>
        </w:rPr>
        <w:tab/>
      </w:r>
      <w:r w:rsidRPr="00AC178E">
        <w:rPr>
          <w:szCs w:val="24"/>
        </w:rPr>
        <w:tab/>
      </w:r>
      <w:r w:rsidRPr="00AC178E">
        <w:rPr>
          <w:szCs w:val="24"/>
        </w:rPr>
        <w:tab/>
        <w:t xml:space="preserve">         </w:t>
      </w:r>
    </w:p>
    <w:p w:rsidR="002F02B4" w:rsidRDefault="002F02B4"/>
    <w:sectPr w:rsidR="002F02B4" w:rsidSect="00C20C25">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669"/>
    <w:rsid w:val="00083B6E"/>
    <w:rsid w:val="000F2252"/>
    <w:rsid w:val="002F02B4"/>
    <w:rsid w:val="003258A4"/>
    <w:rsid w:val="003266D9"/>
    <w:rsid w:val="003C2A4F"/>
    <w:rsid w:val="00595B54"/>
    <w:rsid w:val="006B33F4"/>
    <w:rsid w:val="0070012C"/>
    <w:rsid w:val="00700D73"/>
    <w:rsid w:val="007C680C"/>
    <w:rsid w:val="00857669"/>
    <w:rsid w:val="00A50846"/>
    <w:rsid w:val="00A707F9"/>
    <w:rsid w:val="00A74515"/>
    <w:rsid w:val="00AA6BB0"/>
    <w:rsid w:val="00AC178E"/>
    <w:rsid w:val="00B2615D"/>
    <w:rsid w:val="00C11DDA"/>
    <w:rsid w:val="00C20C25"/>
    <w:rsid w:val="00C46BBA"/>
    <w:rsid w:val="00C613FF"/>
    <w:rsid w:val="00C92F13"/>
    <w:rsid w:val="00CF3FA8"/>
    <w:rsid w:val="00CF4564"/>
    <w:rsid w:val="00D26F3E"/>
    <w:rsid w:val="00DB7088"/>
    <w:rsid w:val="00E46BCA"/>
    <w:rsid w:val="00E74406"/>
    <w:rsid w:val="00E85C44"/>
    <w:rsid w:val="00E90F03"/>
    <w:rsid w:val="00F05DB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69"/>
    <w:rPr>
      <w:rFonts w:ascii="Times New Roman" w:eastAsia="Times New Roman" w:hAnsi="Times New Roman"/>
      <w:sz w:val="20"/>
      <w:szCs w:val="20"/>
    </w:rPr>
  </w:style>
  <w:style w:type="paragraph" w:styleId="Heading3">
    <w:name w:val="heading 3"/>
    <w:basedOn w:val="Normal"/>
    <w:next w:val="Normal"/>
    <w:link w:val="Heading3Char"/>
    <w:uiPriority w:val="99"/>
    <w:qFormat/>
    <w:rsid w:val="00857669"/>
    <w:pPr>
      <w:keepNext/>
      <w:spacing w:before="240" w:after="60"/>
      <w:outlineLvl w:val="2"/>
    </w:pPr>
    <w:rPr>
      <w:rFonts w:ascii="Arial" w:eastAsia="Calibri"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57669"/>
    <w:rPr>
      <w:rFonts w:ascii="Arial" w:hAnsi="Arial"/>
      <w:b/>
      <w:sz w:val="26"/>
      <w:lang w:eastAsia="lt-LT"/>
    </w:rPr>
  </w:style>
  <w:style w:type="paragraph" w:styleId="BodyText">
    <w:name w:val="Body Text"/>
    <w:basedOn w:val="Normal"/>
    <w:link w:val="BodyTextChar"/>
    <w:uiPriority w:val="99"/>
    <w:rsid w:val="00857669"/>
    <w:rPr>
      <w:rFonts w:eastAsia="Calibri"/>
    </w:rPr>
  </w:style>
  <w:style w:type="character" w:customStyle="1" w:styleId="BodyTextChar">
    <w:name w:val="Body Text Char"/>
    <w:basedOn w:val="DefaultParagraphFont"/>
    <w:link w:val="BodyText"/>
    <w:uiPriority w:val="99"/>
    <w:locked/>
    <w:rsid w:val="00857669"/>
    <w:rPr>
      <w:rFonts w:ascii="Times New Roman" w:hAnsi="Times New Roman"/>
      <w:sz w:val="20"/>
      <w:lang w:eastAsia="lt-LT"/>
    </w:rPr>
  </w:style>
  <w:style w:type="paragraph" w:styleId="Header">
    <w:name w:val="header"/>
    <w:basedOn w:val="Normal"/>
    <w:link w:val="HeaderChar"/>
    <w:uiPriority w:val="99"/>
    <w:rsid w:val="00857669"/>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857669"/>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2008</Words>
  <Characters>1145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2012-08-09T05:51:00Z</dcterms:created>
  <dc:creator>Rimantas Armonas</dc:creator>
  <lastModifiedBy>L.Demidova</lastModifiedBy>
  <dcterms:modified xsi:type="dcterms:W3CDTF">2012-08-09T05:51:00Z</dcterms:modified>
  <revision>2</revision>
  <dc:title>AIŠKINAMASIS RAŠTAS</dc:title>
</coreProperties>
</file>